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EBA0" w14:textId="77777777" w:rsidR="003B4276" w:rsidRDefault="003B4276" w:rsidP="007E64A2">
      <w:pPr>
        <w:pStyle w:val="BodyText"/>
        <w:spacing w:after="0" w:line="240" w:lineRule="auto"/>
        <w:ind w:left="-142"/>
        <w:jc w:val="left"/>
        <w:sectPr w:rsidR="003B4276" w:rsidSect="00176881">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2" w:right="1418" w:bottom="1418" w:left="1418" w:header="680" w:footer="624" w:gutter="0"/>
          <w:cols w:space="708"/>
          <w:titlePg/>
          <w:docGrid w:linePitch="326"/>
        </w:sectPr>
      </w:pPr>
    </w:p>
    <w:p w14:paraId="751260AB" w14:textId="77777777" w:rsidR="003D6C48" w:rsidRDefault="003D6C48" w:rsidP="003D6C48"/>
    <w:p w14:paraId="5D137096" w14:textId="77777777" w:rsidR="005A7925" w:rsidRDefault="0060454D" w:rsidP="005C7525">
      <w:pPr>
        <w:jc w:val="left"/>
        <w:rPr>
          <w:sz w:val="22"/>
        </w:rPr>
      </w:pPr>
      <w:r>
        <w:rPr>
          <w:noProof/>
          <w:lang w:eastAsia="et-EE"/>
        </w:rPr>
        <w:drawing>
          <wp:anchor distT="0" distB="0" distL="114300" distR="114300" simplePos="0" relativeHeight="251658752" behindDoc="0" locked="0" layoutInCell="1" allowOverlap="1" wp14:anchorId="3A67F1D4" wp14:editId="40B53479">
            <wp:simplePos x="0" y="0"/>
            <wp:positionH relativeFrom="margin">
              <wp:align>left</wp:align>
            </wp:positionH>
            <wp:positionV relativeFrom="paragraph">
              <wp:posOffset>20955</wp:posOffset>
            </wp:positionV>
            <wp:extent cx="893129" cy="811987"/>
            <wp:effectExtent l="0" t="0" r="2540" b="7620"/>
            <wp:wrapThrough wrapText="bothSides">
              <wp:wrapPolygon edited="0">
                <wp:start x="0" y="0"/>
                <wp:lineTo x="0" y="21296"/>
                <wp:lineTo x="21201" y="21296"/>
                <wp:lineTo x="2120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93129" cy="811987"/>
                    </a:xfrm>
                    <a:prstGeom prst="rect">
                      <a:avLst/>
                    </a:prstGeom>
                  </pic:spPr>
                </pic:pic>
              </a:graphicData>
            </a:graphic>
            <wp14:sizeRelH relativeFrom="page">
              <wp14:pctWidth>0</wp14:pctWidth>
            </wp14:sizeRelH>
            <wp14:sizeRelV relativeFrom="page">
              <wp14:pctHeight>0</wp14:pctHeight>
            </wp14:sizeRelV>
          </wp:anchor>
        </w:drawing>
      </w:r>
      <w:r w:rsidRPr="009A2EEE">
        <w:rPr>
          <w:noProof/>
          <w:lang w:eastAsia="et-EE"/>
        </w:rPr>
        <mc:AlternateContent>
          <mc:Choice Requires="wps">
            <w:drawing>
              <wp:anchor distT="0" distB="0" distL="114300" distR="114300" simplePos="0" relativeHeight="251657728" behindDoc="0" locked="0" layoutInCell="0" allowOverlap="0" wp14:anchorId="02AAD35D" wp14:editId="6E7B3C3F">
                <wp:simplePos x="0" y="0"/>
                <wp:positionH relativeFrom="margin">
                  <wp:posOffset>3223895</wp:posOffset>
                </wp:positionH>
                <wp:positionV relativeFrom="page">
                  <wp:posOffset>972185</wp:posOffset>
                </wp:positionV>
                <wp:extent cx="2632710" cy="812165"/>
                <wp:effectExtent l="0" t="0" r="0" b="4445"/>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812165"/>
                        </a:xfrm>
                        <a:prstGeom prst="rect">
                          <a:avLst/>
                        </a:prstGeom>
                        <a:solidFill>
                          <a:srgbClr val="FFFFFF"/>
                        </a:solidFill>
                        <a:ln w="9525">
                          <a:noFill/>
                          <a:miter lim="800000"/>
                          <a:headEnd/>
                          <a:tailEnd/>
                        </a:ln>
                      </wps:spPr>
                      <wps:txbx>
                        <w:txbxContent>
                          <w:p w14:paraId="75BE82E5" w14:textId="1098CEF8" w:rsidR="005A223E" w:rsidRPr="00D02782" w:rsidRDefault="005A223E" w:rsidP="007B7ACA">
                            <w:pPr>
                              <w:pStyle w:val="kastitekst"/>
                              <w:jc w:val="left"/>
                              <w:rPr>
                                <w:sz w:val="18"/>
                                <w:szCs w:val="18"/>
                              </w:rPr>
                            </w:pPr>
                            <w:r w:rsidRPr="00D02782">
                              <w:rPr>
                                <w:sz w:val="18"/>
                                <w:szCs w:val="18"/>
                              </w:rPr>
                              <w:t xml:space="preserve"> </w:t>
                            </w:r>
                          </w:p>
                        </w:txbxContent>
                      </wps:txbx>
                      <wps:bodyPr rot="0" vert="horz" wrap="square" lIns="36000" tIns="36000" rIns="36000" bIns="3600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2AAD35D" id="_x0000_t202" coordsize="21600,21600" o:spt="202" path="m,l,21600r21600,l21600,xe">
                <v:stroke joinstyle="miter"/>
                <v:path gradientshapeok="t" o:connecttype="rect"/>
              </v:shapetype>
              <v:shape id="Text Box 5" o:spid="_x0000_s1026" type="#_x0000_t202" style="position:absolute;margin-left:253.85pt;margin-top:76.55pt;width:207.3pt;height:63.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" o:allowincell="f" o:allowoverlap="f" stroked="f">
                <v:textbox style="mso-fit-shape-to-text:t" inset="1mm,1mm,1mm,1mm">
                  <w:txbxContent>
                    <w:p w14:paraId="75BE82E5" w14:textId="1098CEF8" w:rsidR="005A223E" w:rsidRPr="00D02782" w:rsidRDefault="005A223E" w:rsidP="007B7ACA">
                      <w:pPr>
                        <w:pStyle w:val="kastitekst"/>
                        <w:jc w:val="left"/>
                        <w:rPr>
                          <w:sz w:val="18"/>
                          <w:szCs w:val="18"/>
                        </w:rPr>
                      </w:pPr>
                      <w:r w:rsidRPr="00D02782">
                        <w:rPr>
                          <w:sz w:val="18"/>
                          <w:szCs w:val="18"/>
                        </w:rPr>
                        <w:t xml:space="preserve"> </w:t>
                      </w:r>
                    </w:p>
                  </w:txbxContent>
                </v:textbox>
                <w10:wrap type="square" anchorx="margin" anchory="page"/>
              </v:shape>
            </w:pict>
          </mc:Fallback>
        </mc:AlternateContent>
      </w:r>
    </w:p>
    <w:p w14:paraId="4DD31D0F" w14:textId="77777777" w:rsidR="000D008B" w:rsidRDefault="000D008B" w:rsidP="005C7525">
      <w:pPr>
        <w:jc w:val="left"/>
        <w:rPr>
          <w:sz w:val="22"/>
        </w:rPr>
      </w:pPr>
    </w:p>
    <w:p w14:paraId="370E97E0" w14:textId="77777777" w:rsidR="000D008B" w:rsidRDefault="000D008B" w:rsidP="005C7525">
      <w:pPr>
        <w:jc w:val="left"/>
        <w:rPr>
          <w:sz w:val="22"/>
        </w:rPr>
      </w:pPr>
    </w:p>
    <w:p w14:paraId="45E53488" w14:textId="77777777" w:rsidR="000D008B" w:rsidRDefault="000D008B" w:rsidP="005C7525">
      <w:pPr>
        <w:jc w:val="left"/>
        <w:rPr>
          <w:sz w:val="22"/>
        </w:rPr>
      </w:pPr>
    </w:p>
    <w:p w14:paraId="051D1C2D" w14:textId="77777777" w:rsidR="000D008B" w:rsidRDefault="000D008B" w:rsidP="005C7525">
      <w:pPr>
        <w:jc w:val="left"/>
        <w:rPr>
          <w:sz w:val="22"/>
        </w:rPr>
      </w:pPr>
    </w:p>
    <w:p w14:paraId="48CEAADC" w14:textId="77777777" w:rsidR="000D008B" w:rsidRDefault="000D008B" w:rsidP="005C7525">
      <w:pPr>
        <w:jc w:val="left"/>
        <w:rPr>
          <w:sz w:val="22"/>
        </w:rPr>
      </w:pPr>
    </w:p>
    <w:p w14:paraId="3B7DA2D2" w14:textId="77777777" w:rsidR="00305DE1" w:rsidRDefault="00305DE1" w:rsidP="005C7525">
      <w:pPr>
        <w:jc w:val="left"/>
        <w:rPr>
          <w:sz w:val="22"/>
        </w:rPr>
      </w:pPr>
    </w:p>
    <w:p w14:paraId="5DDC3784" w14:textId="77777777" w:rsidR="00305DE1" w:rsidRDefault="00305DE1" w:rsidP="005C7525">
      <w:pPr>
        <w:jc w:val="left"/>
        <w:rPr>
          <w:sz w:val="22"/>
        </w:rPr>
      </w:pPr>
    </w:p>
    <w:p w14:paraId="644AAC00" w14:textId="77777777" w:rsidR="00D57137" w:rsidRDefault="00D57137">
      <w:pPr>
        <w:rPr>
          <w:szCs w:val="24"/>
        </w:rPr>
      </w:pPr>
    </w:p>
    <w:p w14:paraId="1FB56F2B" w14:textId="77777777" w:rsidR="0060454D" w:rsidRPr="00656F48" w:rsidRDefault="0060454D">
      <w:pP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75"/>
      </w:tblGrid>
      <w:tr w:rsidR="00ED3814" w:rsidRPr="00656F48" w14:paraId="2E1E6529" w14:textId="77777777" w:rsidTr="00EF7493">
        <w:tc>
          <w:tcPr>
            <w:tcW w:w="5387" w:type="dxa"/>
          </w:tcPr>
          <w:p w14:paraId="65188174" w14:textId="77777777" w:rsidR="00ED3814" w:rsidRPr="00656F48" w:rsidRDefault="00ED3814">
            <w:pPr>
              <w:rPr>
                <w:rFonts w:ascii="Times New Roman" w:hAnsi="Times New Roman" w:cs="Times New Roman"/>
                <w:szCs w:val="24"/>
              </w:rPr>
            </w:pPr>
          </w:p>
        </w:tc>
        <w:tc>
          <w:tcPr>
            <w:tcW w:w="3675" w:type="dxa"/>
          </w:tcPr>
          <w:p w14:paraId="782B3F0A" w14:textId="7B1EECA4" w:rsidR="00ED3814" w:rsidRPr="00656F48" w:rsidRDefault="00ED3814" w:rsidP="00ED3814">
            <w:pPr>
              <w:tabs>
                <w:tab w:val="left" w:pos="4820"/>
              </w:tabs>
              <w:rPr>
                <w:rFonts w:ascii="Times New Roman" w:hAnsi="Times New Roman" w:cs="Times New Roman"/>
                <w:szCs w:val="24"/>
              </w:rPr>
            </w:pPr>
            <w:r w:rsidRPr="00656F48">
              <w:rPr>
                <w:rFonts w:ascii="Times New Roman" w:hAnsi="Times New Roman" w:cs="Times New Roman"/>
                <w:szCs w:val="24"/>
              </w:rPr>
              <w:t xml:space="preserve">  </w:t>
            </w:r>
            <w:r w:rsidRPr="00656F48">
              <w:rPr>
                <w:szCs w:val="24"/>
              </w:rPr>
              <w:fldChar w:fldCharType="begin"/>
            </w:r>
            <w:r w:rsidR="0020522E">
              <w:rPr>
                <w:rFonts w:ascii="Times New Roman" w:hAnsi="Times New Roman" w:cs="Times New Roman"/>
                <w:szCs w:val="24"/>
              </w:rPr>
              <w:instrText xml:space="preserve"> delta_regDateTime  \* MERGEFORMAT</w:instrText>
            </w:r>
            <w:r w:rsidRPr="00656F48">
              <w:rPr>
                <w:szCs w:val="24"/>
              </w:rPr>
              <w:fldChar w:fldCharType="separate"/>
            </w:r>
            <w:r w:rsidR="0020522E">
              <w:rPr>
                <w:rFonts w:ascii="Times New Roman" w:hAnsi="Times New Roman" w:cs="Times New Roman"/>
                <w:szCs w:val="24"/>
              </w:rPr>
              <w:t>28.04.2026</w:t>
            </w:r>
            <w:r w:rsidRPr="00656F48">
              <w:rPr>
                <w:szCs w:val="24"/>
              </w:rPr>
              <w:fldChar w:fldCharType="end"/>
            </w:r>
            <w:r w:rsidRPr="00656F48">
              <w:rPr>
                <w:rFonts w:ascii="Times New Roman" w:hAnsi="Times New Roman" w:cs="Times New Roman"/>
                <w:szCs w:val="24"/>
              </w:rPr>
              <w:t xml:space="preserve"> nr </w:t>
            </w:r>
            <w:r w:rsidRPr="00656F48">
              <w:rPr>
                <w:szCs w:val="24"/>
              </w:rPr>
              <w:fldChar w:fldCharType="begin"/>
            </w:r>
            <w:r w:rsidR="0020522E">
              <w:rPr>
                <w:rFonts w:ascii="Times New Roman" w:hAnsi="Times New Roman" w:cs="Times New Roman"/>
                <w:szCs w:val="24"/>
              </w:rPr>
              <w:instrText xml:space="preserve"> delta_regNumber  \* MERGEFORMAT</w:instrText>
            </w:r>
            <w:r w:rsidRPr="00656F48">
              <w:rPr>
                <w:szCs w:val="24"/>
              </w:rPr>
              <w:fldChar w:fldCharType="separate"/>
            </w:r>
            <w:r w:rsidR="0020522E">
              <w:rPr>
                <w:rFonts w:ascii="Times New Roman" w:hAnsi="Times New Roman" w:cs="Times New Roman"/>
                <w:szCs w:val="24"/>
              </w:rPr>
              <w:t>3-17/159</w:t>
            </w:r>
            <w:r w:rsidRPr="00656F48">
              <w:rPr>
                <w:szCs w:val="24"/>
              </w:rPr>
              <w:fldChar w:fldCharType="end"/>
            </w:r>
          </w:p>
        </w:tc>
      </w:tr>
    </w:tbl>
    <w:p w14:paraId="5F1B998E" w14:textId="77777777" w:rsidR="00D57137" w:rsidRPr="00656F48" w:rsidRDefault="00D57137">
      <w:pPr>
        <w:rPr>
          <w:szCs w:val="24"/>
        </w:rPr>
      </w:pPr>
    </w:p>
    <w:p w14:paraId="40DEB740" w14:textId="77777777" w:rsidR="00D57137" w:rsidRPr="00656F48" w:rsidRDefault="00D57137">
      <w:pPr>
        <w:rPr>
          <w:szCs w:val="24"/>
        </w:rPr>
      </w:pPr>
    </w:p>
    <w:p w14:paraId="3B28E3D9" w14:textId="77777777" w:rsidR="00D57137" w:rsidRPr="00656F48" w:rsidRDefault="00D57137">
      <w:pPr>
        <w:rPr>
          <w:szCs w:val="24"/>
        </w:rPr>
      </w:pPr>
    </w:p>
    <w:p w14:paraId="2AB9CE41" w14:textId="2079AE25" w:rsidR="005A7925" w:rsidRPr="00C15D3E" w:rsidRDefault="005A7925">
      <w:pPr>
        <w:rPr>
          <w:b/>
          <w:bCs/>
          <w:szCs w:val="24"/>
        </w:rPr>
      </w:pPr>
      <w:r w:rsidRPr="00C15D3E">
        <w:rPr>
          <w:b/>
          <w:bCs/>
          <w:szCs w:val="24"/>
        </w:rPr>
        <w:fldChar w:fldCharType="begin"/>
      </w:r>
      <w:r w:rsidR="0020522E">
        <w:rPr>
          <w:b/>
          <w:bCs/>
          <w:szCs w:val="24"/>
        </w:rPr>
        <w:instrText xml:space="preserve"> delta_docName  \* MERGEFORMAT</w:instrText>
      </w:r>
      <w:r w:rsidRPr="00C15D3E">
        <w:rPr>
          <w:b/>
          <w:bCs/>
          <w:szCs w:val="24"/>
        </w:rPr>
        <w:fldChar w:fldCharType="separate"/>
      </w:r>
      <w:r w:rsidR="0020522E">
        <w:rPr>
          <w:b/>
          <w:bCs/>
          <w:szCs w:val="24"/>
        </w:rPr>
        <w:t xml:space="preserve">EI TEOSTATA_ Pakkumuse esitamise ettepanek minikonkursil "Serverite ja lisaseadmete ostmine" (304190) RIT raamlepingu nr 5-3/25-0284-1 alusel </w:t>
      </w:r>
      <w:r w:rsidRPr="00C15D3E">
        <w:rPr>
          <w:b/>
          <w:bCs/>
          <w:szCs w:val="24"/>
        </w:rPr>
        <w:fldChar w:fldCharType="end"/>
      </w:r>
    </w:p>
    <w:p w14:paraId="352A65F6" w14:textId="77777777" w:rsidR="007B7ACA" w:rsidRPr="00656F48" w:rsidRDefault="007B7ACA"/>
    <w:p w14:paraId="5148BDFC" w14:textId="77777777" w:rsidR="00B42D28" w:rsidRPr="005B3170" w:rsidRDefault="00B42D28" w:rsidP="00B42D28">
      <w:pPr>
        <w:spacing w:line="276" w:lineRule="auto"/>
        <w:rPr>
          <w:szCs w:val="24"/>
        </w:rPr>
      </w:pPr>
      <w:bookmarkStart w:id="1" w:name="_Toc347148596"/>
      <w:r w:rsidRPr="005B3170">
        <w:rPr>
          <w:szCs w:val="24"/>
        </w:rPr>
        <w:t xml:space="preserve">Siseministeeriumi infotehnoloogia- ja arenduskeskus (edaspidi SMIT või </w:t>
      </w:r>
      <w:r>
        <w:rPr>
          <w:szCs w:val="24"/>
        </w:rPr>
        <w:t>hankija</w:t>
      </w:r>
      <w:r w:rsidRPr="005B3170">
        <w:rPr>
          <w:szCs w:val="24"/>
        </w:rPr>
        <w:t xml:space="preserve">) soovib </w:t>
      </w:r>
      <w:r w:rsidRPr="00D64A1A">
        <w:rPr>
          <w:szCs w:val="24"/>
        </w:rPr>
        <w:t>Riigi Info- ja Kommunikatsioonitehnoloogia Keskus</w:t>
      </w:r>
      <w:r>
        <w:rPr>
          <w:szCs w:val="24"/>
        </w:rPr>
        <w:t xml:space="preserve">e (RIT) poolt läbiviidud </w:t>
      </w:r>
      <w:r w:rsidRPr="005B3170">
        <w:rPr>
          <w:szCs w:val="24"/>
        </w:rPr>
        <w:t>riigihanke</w:t>
      </w:r>
      <w:r w:rsidRPr="004E4BF9">
        <w:rPr>
          <w:color w:val="FF0000"/>
          <w:szCs w:val="24"/>
        </w:rPr>
        <w:t xml:space="preserve"> </w:t>
      </w:r>
      <w:r w:rsidRPr="00D64A1A">
        <w:rPr>
          <w:szCs w:val="24"/>
          <w:shd w:val="clear" w:color="auto" w:fill="FFFFFF"/>
        </w:rPr>
        <w:t xml:space="preserve">„Serverite, võrguseadmete ja kettamassiivide raamhange“ (viitenumber 289654) </w:t>
      </w:r>
      <w:r w:rsidRPr="005B3170">
        <w:rPr>
          <w:szCs w:val="24"/>
        </w:rPr>
        <w:t>alusel sõlmitud raamlepingu</w:t>
      </w:r>
      <w:r w:rsidRPr="005B3170">
        <w:rPr>
          <w:color w:val="2D2C2D"/>
          <w:szCs w:val="24"/>
          <w:shd w:val="clear" w:color="auto" w:fill="FFFFFF"/>
        </w:rPr>
        <w:t xml:space="preserve"> </w:t>
      </w:r>
      <w:r w:rsidRPr="005B3170">
        <w:rPr>
          <w:szCs w:val="24"/>
        </w:rPr>
        <w:t>alusel sõlmida hankelepingu raamlepingu partneriga ja teeb ettepaneku pakkumuse esitamiseks minikonkursi dokumentides toodud tingimustel.</w:t>
      </w:r>
    </w:p>
    <w:p w14:paraId="6EAD47BB" w14:textId="77777777" w:rsidR="00B42D28" w:rsidRPr="005B3170" w:rsidRDefault="00B42D28" w:rsidP="00B42D28">
      <w:pPr>
        <w:rPr>
          <w:szCs w:val="24"/>
        </w:rPr>
      </w:pPr>
    </w:p>
    <w:p w14:paraId="08A5D350" w14:textId="77777777" w:rsidR="00B42D28" w:rsidRPr="00E961D3" w:rsidRDefault="00B42D28" w:rsidP="00B42D28">
      <w:pPr>
        <w:numPr>
          <w:ilvl w:val="0"/>
          <w:numId w:val="6"/>
        </w:numPr>
        <w:tabs>
          <w:tab w:val="left" w:pos="567"/>
        </w:tabs>
        <w:spacing w:line="276" w:lineRule="auto"/>
        <w:ind w:left="567" w:hanging="567"/>
        <w:rPr>
          <w:b/>
        </w:rPr>
      </w:pPr>
      <w:r w:rsidRPr="00E961D3">
        <w:rPr>
          <w:b/>
          <w:szCs w:val="24"/>
        </w:rPr>
        <w:t>Üldteave</w:t>
      </w:r>
    </w:p>
    <w:p w14:paraId="5CA859A3" w14:textId="77777777" w:rsidR="00B42D28" w:rsidRPr="005B3170" w:rsidRDefault="00B42D28" w:rsidP="00B42D28">
      <w:pPr>
        <w:numPr>
          <w:ilvl w:val="1"/>
          <w:numId w:val="6"/>
        </w:numPr>
        <w:spacing w:line="276" w:lineRule="auto"/>
        <w:ind w:left="567" w:hanging="567"/>
      </w:pPr>
      <w:r w:rsidRPr="0014059C">
        <w:rPr>
          <w:szCs w:val="24"/>
        </w:rPr>
        <w:t>R</w:t>
      </w:r>
      <w:r>
        <w:rPr>
          <w:szCs w:val="24"/>
        </w:rPr>
        <w:t>IT r</w:t>
      </w:r>
      <w:r w:rsidRPr="0014059C">
        <w:rPr>
          <w:szCs w:val="24"/>
        </w:rPr>
        <w:t>aamleping</w:t>
      </w:r>
      <w:r w:rsidRPr="005B3170">
        <w:t xml:space="preserve">: reg nr </w:t>
      </w:r>
      <w:r w:rsidRPr="00D64A1A">
        <w:t>5-3/25-0284-1</w:t>
      </w:r>
      <w:r w:rsidRPr="005B3170">
        <w:t>;</w:t>
      </w:r>
    </w:p>
    <w:p w14:paraId="4183972F" w14:textId="77777777" w:rsidR="00B42D28" w:rsidRPr="005B3170" w:rsidRDefault="00B42D28" w:rsidP="00B42D28">
      <w:pPr>
        <w:numPr>
          <w:ilvl w:val="1"/>
          <w:numId w:val="6"/>
        </w:numPr>
        <w:spacing w:line="276" w:lineRule="auto"/>
        <w:ind w:left="567" w:hanging="567"/>
      </w:pPr>
      <w:r w:rsidRPr="0014059C">
        <w:rPr>
          <w:szCs w:val="24"/>
        </w:rPr>
        <w:t>Hanke</w:t>
      </w:r>
      <w:r w:rsidRPr="005B3170">
        <w:t xml:space="preserve"> eest vastutav isik: </w:t>
      </w:r>
      <w:r>
        <w:t xml:space="preserve">Lagle Sokmann, </w:t>
      </w:r>
      <w:hyperlink r:id="rId14" w:history="1">
        <w:r w:rsidRPr="0023607C">
          <w:rPr>
            <w:rStyle w:val="Hyperlink"/>
          </w:rPr>
          <w:t>hanked@smit.ee</w:t>
        </w:r>
      </w:hyperlink>
      <w:r>
        <w:t xml:space="preserve"> </w:t>
      </w:r>
    </w:p>
    <w:p w14:paraId="704BBF29" w14:textId="77777777" w:rsidR="00B42D28" w:rsidRPr="003A518B" w:rsidRDefault="00B42D28" w:rsidP="00B42D28">
      <w:pPr>
        <w:numPr>
          <w:ilvl w:val="1"/>
          <w:numId w:val="6"/>
        </w:numPr>
        <w:spacing w:line="276" w:lineRule="auto"/>
        <w:ind w:left="567" w:hanging="567"/>
      </w:pPr>
      <w:r w:rsidRPr="0014059C">
        <w:rPr>
          <w:szCs w:val="24"/>
        </w:rPr>
        <w:t>Hanke</w:t>
      </w:r>
      <w:r w:rsidRPr="005B3170">
        <w:t xml:space="preserve"> liik: minikonkurss raamlepingu alusel, </w:t>
      </w:r>
      <w:r>
        <w:t xml:space="preserve">minikonkursi </w:t>
      </w:r>
      <w:r w:rsidRPr="003A518B">
        <w:t>viitenumber</w:t>
      </w:r>
      <w:r>
        <w:rPr>
          <w:rStyle w:val="meta-list-item-bold"/>
        </w:rPr>
        <w:t xml:space="preserve"> </w:t>
      </w:r>
      <w:r w:rsidRPr="004B0A3B">
        <w:t>304190.</w:t>
      </w:r>
    </w:p>
    <w:p w14:paraId="24F186FA" w14:textId="77777777" w:rsidR="00B42D28" w:rsidRPr="003A518B" w:rsidRDefault="00B42D28" w:rsidP="00B42D28">
      <w:pPr>
        <w:numPr>
          <w:ilvl w:val="1"/>
          <w:numId w:val="6"/>
        </w:numPr>
        <w:spacing w:line="276" w:lineRule="auto"/>
        <w:ind w:left="567" w:hanging="567"/>
      </w:pPr>
      <w:r w:rsidRPr="0014059C">
        <w:rPr>
          <w:szCs w:val="24"/>
        </w:rPr>
        <w:t>Eeldatav</w:t>
      </w:r>
      <w:r w:rsidRPr="003A518B">
        <w:t xml:space="preserve"> maksumus: </w:t>
      </w:r>
      <w:r>
        <w:t xml:space="preserve">65 000.00 </w:t>
      </w:r>
      <w:r w:rsidRPr="003A518B">
        <w:t>eurot km-ta.</w:t>
      </w:r>
    </w:p>
    <w:p w14:paraId="60D3DAB1" w14:textId="4D0D2359" w:rsidR="00B42D28" w:rsidRPr="003A518B" w:rsidRDefault="00B42D28" w:rsidP="00B42D28">
      <w:pPr>
        <w:numPr>
          <w:ilvl w:val="1"/>
          <w:numId w:val="6"/>
        </w:numPr>
        <w:spacing w:line="276" w:lineRule="auto"/>
        <w:ind w:left="567" w:hanging="567"/>
      </w:pPr>
      <w:r w:rsidRPr="003A518B">
        <w:t>CPV kood:</w:t>
      </w:r>
      <w:r>
        <w:t xml:space="preserve"> </w:t>
      </w:r>
      <w:r w:rsidR="00E46321" w:rsidRPr="00E75EC5">
        <w:t>30210000-4</w:t>
      </w:r>
      <w:r w:rsidR="00E46321" w:rsidRPr="00E46321">
        <w:t xml:space="preserve">, </w:t>
      </w:r>
      <w:r w:rsidR="00E46321" w:rsidRPr="00E75EC5">
        <w:t>48200000-0</w:t>
      </w:r>
      <w:r w:rsidR="00E46321" w:rsidRPr="00E46321">
        <w:t xml:space="preserve">, </w:t>
      </w:r>
      <w:r w:rsidR="00E46321" w:rsidRPr="00E75EC5">
        <w:t>48820000-2</w:t>
      </w:r>
      <w:r w:rsidR="00E46321" w:rsidRPr="00E46321">
        <w:t xml:space="preserve">, </w:t>
      </w:r>
      <w:r w:rsidR="00E46321" w:rsidRPr="00E75EC5">
        <w:t>48960000-5</w:t>
      </w:r>
      <w:r w:rsidR="00E46321" w:rsidRPr="00E46321">
        <w:t>.</w:t>
      </w:r>
      <w:r w:rsidR="00E46321" w:rsidRPr="00E75EC5">
        <w:t> </w:t>
      </w:r>
    </w:p>
    <w:p w14:paraId="3A79A925" w14:textId="77777777" w:rsidR="00B42D28" w:rsidRPr="003A518B" w:rsidRDefault="00B42D28" w:rsidP="00B42D28">
      <w:pPr>
        <w:numPr>
          <w:ilvl w:val="1"/>
          <w:numId w:val="6"/>
        </w:numPr>
        <w:spacing w:line="276" w:lineRule="auto"/>
        <w:ind w:left="567" w:hanging="567"/>
      </w:pPr>
      <w:r w:rsidRPr="003A518B">
        <w:t>Menetluse teostamise viis: e-menetlus eRHR vahendusel.</w:t>
      </w:r>
    </w:p>
    <w:p w14:paraId="685AB90B" w14:textId="77777777" w:rsidR="00B42D28" w:rsidRPr="004B0A3B" w:rsidRDefault="00B42D28" w:rsidP="00B42D28">
      <w:pPr>
        <w:numPr>
          <w:ilvl w:val="1"/>
          <w:numId w:val="6"/>
        </w:numPr>
        <w:spacing w:line="276" w:lineRule="auto"/>
        <w:ind w:left="567" w:hanging="567"/>
      </w:pPr>
      <w:r w:rsidRPr="003A518B">
        <w:t xml:space="preserve">Hankelepingu kestus: </w:t>
      </w:r>
      <w:r w:rsidRPr="004B0A3B">
        <w:t>lepinguliste kohuste täitumiseni (sh ka arve maksmise aeg)</w:t>
      </w:r>
      <w:r>
        <w:t>.</w:t>
      </w:r>
    </w:p>
    <w:p w14:paraId="7B79DB92" w14:textId="5390723C" w:rsidR="00B42D28" w:rsidRPr="00861C52" w:rsidRDefault="00B42D28" w:rsidP="00B42D28">
      <w:pPr>
        <w:numPr>
          <w:ilvl w:val="1"/>
          <w:numId w:val="6"/>
        </w:numPr>
        <w:spacing w:line="276" w:lineRule="auto"/>
        <w:ind w:left="567" w:hanging="567"/>
      </w:pPr>
      <w:r w:rsidRPr="003A518B">
        <w:t xml:space="preserve">Finantseerimisallikas: </w:t>
      </w:r>
      <w:r w:rsidRPr="004B0A3B">
        <w:t>Euroopa Liidu poolt kaasrahastatud Sisejulgeoleku fondi projekt „Tegevustoetus - Digikriminalistika ülalpidamiskulud“ ISF.1.01.23-0011 vahendid</w:t>
      </w:r>
      <w:r>
        <w:t>.</w:t>
      </w:r>
    </w:p>
    <w:p w14:paraId="0CE9648E" w14:textId="77777777" w:rsidR="00B42D28" w:rsidRPr="00904B5F" w:rsidRDefault="00B42D28" w:rsidP="00B42D28">
      <w:pPr>
        <w:numPr>
          <w:ilvl w:val="1"/>
          <w:numId w:val="6"/>
        </w:numPr>
        <w:spacing w:line="276" w:lineRule="auto"/>
        <w:ind w:left="567" w:hanging="567"/>
      </w:pPr>
      <w:r w:rsidRPr="00C839B7">
        <w:rPr>
          <w:szCs w:val="24"/>
        </w:rPr>
        <w:t>Pakkumuse</w:t>
      </w:r>
      <w:r w:rsidRPr="00373798">
        <w:t xml:space="preserve"> esitamise tähtaeg: Pakkumuse esitamise täpne kuupäev ja kellaaeg sätestatakse hankemenetluse eest vastutava isiku poolt </w:t>
      </w:r>
      <w:r>
        <w:t>eRHR-s</w:t>
      </w:r>
      <w:r w:rsidRPr="00373798">
        <w:t>.</w:t>
      </w:r>
      <w:r w:rsidRPr="0034133C">
        <w:rPr>
          <w:color w:val="FF0000"/>
        </w:rPr>
        <w:t xml:space="preserve"> </w:t>
      </w:r>
      <w:r w:rsidRPr="002A08F3">
        <w:t>Pakkujal on õigus vajadusel teha ettepanek pakkumuse esitamise tähtaja pikendamiseks.</w:t>
      </w:r>
    </w:p>
    <w:p w14:paraId="70C36071" w14:textId="77777777" w:rsidR="00B42D28" w:rsidRDefault="00B42D28" w:rsidP="00B42D28">
      <w:pPr>
        <w:numPr>
          <w:ilvl w:val="1"/>
          <w:numId w:val="6"/>
        </w:numPr>
        <w:spacing w:line="276" w:lineRule="auto"/>
        <w:ind w:left="567" w:hanging="567"/>
      </w:pPr>
      <w:r w:rsidRPr="0014059C">
        <w:rPr>
          <w:szCs w:val="24"/>
        </w:rPr>
        <w:t>Pakkumuse</w:t>
      </w:r>
      <w:r w:rsidRPr="0087225B">
        <w:t xml:space="preserve"> jõusoleku tähtaeg: vähemalt 3 kuud alates pakkumuse esitamise tähtpäevast. </w:t>
      </w:r>
    </w:p>
    <w:p w14:paraId="1257CC7C" w14:textId="77777777" w:rsidR="00B42D28" w:rsidRPr="002B7F78" w:rsidRDefault="00B42D28" w:rsidP="00B42D28">
      <w:pPr>
        <w:numPr>
          <w:ilvl w:val="1"/>
          <w:numId w:val="6"/>
        </w:numPr>
        <w:spacing w:line="276" w:lineRule="auto"/>
        <w:ind w:left="567" w:hanging="567"/>
        <w:rPr>
          <w:szCs w:val="24"/>
        </w:rPr>
      </w:pPr>
      <w:r w:rsidRPr="00EB3A9A">
        <w:rPr>
          <w:szCs w:val="24"/>
        </w:rPr>
        <w:t>Hankija</w:t>
      </w:r>
      <w:r w:rsidRPr="00EB3A9A">
        <w:t xml:space="preserve"> ootus huvitatud isikutele on, et pakkujad teavitaks hankijat aegsasti RHR kaudu riigihanke alusdokumentides avastatud vigade, ebatäpsuste ja ebaselguste parandamiseks</w:t>
      </w:r>
      <w:r>
        <w:t>.</w:t>
      </w:r>
      <w:r w:rsidRPr="00EB3A9A">
        <w:t xml:space="preserve"> </w:t>
      </w:r>
    </w:p>
    <w:p w14:paraId="4D4C6738" w14:textId="77777777" w:rsidR="00B42D28" w:rsidRPr="002A08F3" w:rsidRDefault="00B42D28" w:rsidP="00B42D28">
      <w:pPr>
        <w:numPr>
          <w:ilvl w:val="1"/>
          <w:numId w:val="6"/>
        </w:numPr>
        <w:spacing w:line="276" w:lineRule="auto"/>
        <w:ind w:left="567" w:hanging="567"/>
        <w:rPr>
          <w:lang w:eastAsia="et-EE"/>
        </w:rPr>
      </w:pPr>
      <w:bookmarkStart w:id="2" w:name="_Hlk125474126"/>
      <w:r w:rsidRPr="002A08F3">
        <w:t>RHR üldandmetesse lahtris "Hankelepingu eeldatav kestus" määratud tähtaeg tähendab lepingu kehtivust, mitte üksnes täitja kohustuste täitmise tähtaega ning lähtub seetõttu nii täitja kui hankija/maksja kohustuste nõuetekohase täitmise tähtaegadest, sh hõlmatud on ka hankija arve tasumiseks kuluv aeg. Pakkujal tuleb lepingu sõlmimise korral lähtuda enda kohustuste tähtaegsel täitmisel lepingus või tehnilises kirjelduses määratud täitmise/lepingu eseme tarnimise tähtajast.</w:t>
      </w:r>
    </w:p>
    <w:bookmarkEnd w:id="2"/>
    <w:p w14:paraId="0720B5B3" w14:textId="77777777" w:rsidR="00B42D28" w:rsidRPr="002A08F3" w:rsidRDefault="00B42D28" w:rsidP="00B42D28">
      <w:pPr>
        <w:numPr>
          <w:ilvl w:val="1"/>
          <w:numId w:val="6"/>
        </w:numPr>
        <w:spacing w:line="276" w:lineRule="auto"/>
        <w:ind w:left="567" w:hanging="567"/>
        <w:rPr>
          <w:lang w:eastAsia="et-EE"/>
        </w:rPr>
      </w:pPr>
      <w:r w:rsidRPr="002A08F3">
        <w:rPr>
          <w:shd w:val="clear" w:color="auto" w:fill="FFFFFF"/>
        </w:rPr>
        <w:lastRenderedPageBreak/>
        <w:t xml:space="preserve">Pärast </w:t>
      </w:r>
      <w:r w:rsidRPr="002A08F3">
        <w:t>hankelepingu</w:t>
      </w:r>
      <w:r w:rsidRPr="002A08F3">
        <w:rPr>
          <w:shd w:val="clear" w:color="auto" w:fill="FFFFFF"/>
        </w:rPr>
        <w:t xml:space="preserve"> sõlmimist esitab täitja iga oma alltöövõtja, kellega sõlmitud alltöövõtulepingu käibemaksuta maksumus ületab 50 000 eurot, nime ja registrikoodi ning alltöövõtulepingu nimetuse, kuupäeva, numbri ja summa.</w:t>
      </w:r>
      <w:r w:rsidRPr="002A08F3">
        <w:t xml:space="preserve"> </w:t>
      </w:r>
    </w:p>
    <w:p w14:paraId="0CE74C27" w14:textId="77777777" w:rsidR="00B42D28" w:rsidRPr="0087225B" w:rsidRDefault="00B42D28" w:rsidP="00B42D28">
      <w:pPr>
        <w:keepNext/>
        <w:tabs>
          <w:tab w:val="left" w:pos="0"/>
        </w:tabs>
        <w:ind w:right="-828"/>
        <w:outlineLvl w:val="1"/>
        <w:rPr>
          <w:rFonts w:eastAsia="SimSun"/>
          <w:b/>
          <w:bCs/>
          <w:szCs w:val="24"/>
        </w:rPr>
      </w:pPr>
    </w:p>
    <w:bookmarkEnd w:id="1"/>
    <w:p w14:paraId="20612985" w14:textId="77777777" w:rsidR="00B42D28" w:rsidRPr="00E961D3" w:rsidRDefault="00B42D28" w:rsidP="00B42D28">
      <w:pPr>
        <w:numPr>
          <w:ilvl w:val="0"/>
          <w:numId w:val="6"/>
        </w:numPr>
        <w:tabs>
          <w:tab w:val="left" w:pos="567"/>
        </w:tabs>
        <w:spacing w:line="276" w:lineRule="auto"/>
        <w:ind w:left="567" w:hanging="567"/>
        <w:rPr>
          <w:b/>
        </w:rPr>
      </w:pPr>
      <w:r w:rsidRPr="00E961D3">
        <w:rPr>
          <w:b/>
          <w:szCs w:val="24"/>
        </w:rPr>
        <w:t>Minikonkursi</w:t>
      </w:r>
      <w:r w:rsidRPr="00E961D3">
        <w:rPr>
          <w:b/>
        </w:rPr>
        <w:t xml:space="preserve"> dokumendid </w:t>
      </w:r>
    </w:p>
    <w:p w14:paraId="4A829361" w14:textId="77777777" w:rsidR="00B42D28" w:rsidRPr="0087225B" w:rsidRDefault="00B42D28" w:rsidP="00B42D28">
      <w:pPr>
        <w:numPr>
          <w:ilvl w:val="1"/>
          <w:numId w:val="6"/>
        </w:numPr>
        <w:spacing w:line="276" w:lineRule="auto"/>
        <w:ind w:left="567" w:hanging="567"/>
      </w:pPr>
      <w:r w:rsidRPr="00E961D3">
        <w:rPr>
          <w:szCs w:val="24"/>
        </w:rPr>
        <w:t>Minikonkursi</w:t>
      </w:r>
      <w:r w:rsidRPr="00E961D3">
        <w:t xml:space="preserve"> dokumendid </w:t>
      </w:r>
      <w:r w:rsidRPr="0087225B">
        <w:t>koosnevad käesolevast dokumendist ning järgmistest lisadest:</w:t>
      </w:r>
    </w:p>
    <w:p w14:paraId="0E5CD5B2" w14:textId="77777777" w:rsidR="00B42D28" w:rsidRDefault="00B42D28" w:rsidP="00B42D28">
      <w:pPr>
        <w:pStyle w:val="ListParagraph"/>
        <w:numPr>
          <w:ilvl w:val="2"/>
          <w:numId w:val="6"/>
        </w:numPr>
        <w:spacing w:line="276" w:lineRule="auto"/>
        <w:rPr>
          <w:rFonts w:ascii="Times New Roman" w:hAnsi="Times New Roman"/>
          <w:sz w:val="24"/>
          <w:lang w:eastAsia="et-EE"/>
        </w:rPr>
      </w:pPr>
      <w:r w:rsidRPr="00E961D3">
        <w:rPr>
          <w:rFonts w:ascii="Times New Roman" w:hAnsi="Times New Roman"/>
          <w:sz w:val="24"/>
          <w:lang w:eastAsia="et-EE"/>
        </w:rPr>
        <w:t>Lisa 1</w:t>
      </w:r>
      <w:r>
        <w:rPr>
          <w:rFonts w:ascii="Times New Roman" w:hAnsi="Times New Roman"/>
          <w:sz w:val="24"/>
          <w:lang w:eastAsia="et-EE"/>
        </w:rPr>
        <w:t xml:space="preserve"> - </w:t>
      </w:r>
      <w:r w:rsidRPr="00E961D3">
        <w:rPr>
          <w:rFonts w:ascii="Times New Roman" w:hAnsi="Times New Roman"/>
          <w:sz w:val="24"/>
          <w:lang w:eastAsia="et-EE"/>
        </w:rPr>
        <w:t>Hankelepingu projekt;</w:t>
      </w:r>
    </w:p>
    <w:p w14:paraId="6F5B6BCC" w14:textId="370A2F15" w:rsidR="00DE3160" w:rsidRPr="00E961D3" w:rsidRDefault="00DE3160" w:rsidP="00B42D28">
      <w:pPr>
        <w:pStyle w:val="ListParagraph"/>
        <w:numPr>
          <w:ilvl w:val="2"/>
          <w:numId w:val="6"/>
        </w:numPr>
        <w:spacing w:line="276" w:lineRule="auto"/>
        <w:rPr>
          <w:rFonts w:ascii="Times New Roman" w:hAnsi="Times New Roman"/>
          <w:sz w:val="24"/>
          <w:lang w:eastAsia="et-EE"/>
        </w:rPr>
      </w:pPr>
      <w:r>
        <w:rPr>
          <w:rFonts w:ascii="Times New Roman" w:hAnsi="Times New Roman"/>
          <w:sz w:val="24"/>
          <w:lang w:eastAsia="et-EE"/>
        </w:rPr>
        <w:t>Lisa 1.1 – Üleandmise – vastuvõtmise akti vorm;</w:t>
      </w:r>
    </w:p>
    <w:p w14:paraId="1A7EBEE5" w14:textId="77777777" w:rsidR="00B42D28" w:rsidRDefault="00B42D28" w:rsidP="00B42D28">
      <w:pPr>
        <w:pStyle w:val="ListParagraph"/>
        <w:numPr>
          <w:ilvl w:val="2"/>
          <w:numId w:val="6"/>
        </w:numPr>
        <w:spacing w:line="276" w:lineRule="auto"/>
        <w:rPr>
          <w:rFonts w:ascii="Times New Roman" w:hAnsi="Times New Roman"/>
          <w:sz w:val="24"/>
          <w:lang w:eastAsia="et-EE"/>
        </w:rPr>
      </w:pPr>
      <w:r w:rsidRPr="00E961D3">
        <w:rPr>
          <w:rFonts w:ascii="Times New Roman" w:hAnsi="Times New Roman"/>
          <w:sz w:val="24"/>
          <w:lang w:eastAsia="et-EE"/>
        </w:rPr>
        <w:t>Lisa 2</w:t>
      </w:r>
      <w:r>
        <w:rPr>
          <w:rFonts w:ascii="Times New Roman" w:hAnsi="Times New Roman"/>
          <w:sz w:val="24"/>
          <w:lang w:eastAsia="et-EE"/>
        </w:rPr>
        <w:t xml:space="preserve"> – Tehniline kirjeldus;</w:t>
      </w:r>
    </w:p>
    <w:p w14:paraId="0B6E17A2" w14:textId="77777777" w:rsidR="00B42D28" w:rsidRPr="00E961D3" w:rsidRDefault="00B42D28" w:rsidP="00B42D28">
      <w:pPr>
        <w:pStyle w:val="ListParagraph"/>
        <w:numPr>
          <w:ilvl w:val="2"/>
          <w:numId w:val="6"/>
        </w:numPr>
        <w:spacing w:line="276" w:lineRule="auto"/>
        <w:rPr>
          <w:rFonts w:ascii="Times New Roman" w:hAnsi="Times New Roman"/>
          <w:sz w:val="24"/>
          <w:lang w:eastAsia="et-EE"/>
        </w:rPr>
      </w:pPr>
      <w:r>
        <w:rPr>
          <w:rFonts w:ascii="Times New Roman" w:hAnsi="Times New Roman"/>
          <w:sz w:val="24"/>
          <w:lang w:eastAsia="et-EE"/>
        </w:rPr>
        <w:t xml:space="preserve">Lisa 3 – </w:t>
      </w:r>
      <w:r w:rsidRPr="00E961D3">
        <w:rPr>
          <w:rFonts w:ascii="Times New Roman" w:hAnsi="Times New Roman"/>
          <w:sz w:val="24"/>
          <w:lang w:eastAsia="et-EE"/>
        </w:rPr>
        <w:t>Vastavustingimused</w:t>
      </w:r>
      <w:r>
        <w:rPr>
          <w:rFonts w:ascii="Times New Roman" w:hAnsi="Times New Roman"/>
          <w:sz w:val="24"/>
          <w:lang w:eastAsia="et-EE"/>
        </w:rPr>
        <w:t xml:space="preserve"> (eRHR vorm)</w:t>
      </w:r>
      <w:r w:rsidRPr="00E961D3">
        <w:rPr>
          <w:rFonts w:ascii="Times New Roman" w:hAnsi="Times New Roman"/>
          <w:sz w:val="24"/>
          <w:lang w:eastAsia="et-EE"/>
        </w:rPr>
        <w:t>;</w:t>
      </w:r>
    </w:p>
    <w:p w14:paraId="198D5D6C" w14:textId="77777777" w:rsidR="00B42D28" w:rsidRPr="00E961D3" w:rsidRDefault="00B42D28" w:rsidP="00B42D28">
      <w:pPr>
        <w:pStyle w:val="ListParagraph"/>
        <w:numPr>
          <w:ilvl w:val="2"/>
          <w:numId w:val="6"/>
        </w:numPr>
        <w:spacing w:line="276" w:lineRule="auto"/>
        <w:rPr>
          <w:rFonts w:ascii="Times New Roman" w:hAnsi="Times New Roman"/>
          <w:sz w:val="24"/>
          <w:lang w:eastAsia="et-EE"/>
        </w:rPr>
      </w:pPr>
      <w:r w:rsidRPr="00E961D3">
        <w:rPr>
          <w:rFonts w:ascii="Times New Roman" w:hAnsi="Times New Roman"/>
          <w:sz w:val="24"/>
          <w:lang w:eastAsia="et-EE"/>
        </w:rPr>
        <w:t xml:space="preserve">Lisa </w:t>
      </w:r>
      <w:r>
        <w:rPr>
          <w:rFonts w:ascii="Times New Roman" w:hAnsi="Times New Roman"/>
          <w:sz w:val="24"/>
          <w:lang w:eastAsia="et-EE"/>
        </w:rPr>
        <w:t xml:space="preserve">4 - </w:t>
      </w:r>
      <w:r w:rsidRPr="00E961D3">
        <w:rPr>
          <w:rFonts w:ascii="Times New Roman" w:hAnsi="Times New Roman"/>
          <w:sz w:val="24"/>
          <w:lang w:eastAsia="et-EE"/>
        </w:rPr>
        <w:t>Hindamiskriteeriumid</w:t>
      </w:r>
      <w:r w:rsidRPr="00E961D3">
        <w:rPr>
          <w:rFonts w:ascii="Times New Roman" w:hAnsi="Times New Roman"/>
          <w:sz w:val="24"/>
        </w:rPr>
        <w:t xml:space="preserve"> ja hinnatavad näitajad (eRHR vorm);</w:t>
      </w:r>
    </w:p>
    <w:p w14:paraId="5F45BB38" w14:textId="77777777" w:rsidR="00B42D28" w:rsidRPr="00E961D3" w:rsidRDefault="00B42D28" w:rsidP="00B42D28">
      <w:pPr>
        <w:pStyle w:val="ListParagraph"/>
        <w:numPr>
          <w:ilvl w:val="2"/>
          <w:numId w:val="6"/>
        </w:numPr>
        <w:spacing w:line="276" w:lineRule="auto"/>
        <w:rPr>
          <w:rFonts w:ascii="Times New Roman" w:hAnsi="Times New Roman"/>
          <w:sz w:val="24"/>
          <w:lang w:eastAsia="et-EE"/>
        </w:rPr>
      </w:pPr>
      <w:r w:rsidRPr="00E961D3">
        <w:rPr>
          <w:rFonts w:ascii="Times New Roman" w:hAnsi="Times New Roman"/>
          <w:sz w:val="24"/>
        </w:rPr>
        <w:t xml:space="preserve">Lisa </w:t>
      </w:r>
      <w:r>
        <w:rPr>
          <w:rFonts w:ascii="Times New Roman" w:hAnsi="Times New Roman"/>
          <w:sz w:val="24"/>
        </w:rPr>
        <w:t xml:space="preserve">5 - </w:t>
      </w:r>
      <w:r w:rsidRPr="00E961D3">
        <w:rPr>
          <w:rFonts w:ascii="Times New Roman" w:hAnsi="Times New Roman"/>
          <w:sz w:val="24"/>
          <w:lang w:eastAsia="et-EE"/>
        </w:rPr>
        <w:t>Kõrvaldamise</w:t>
      </w:r>
      <w:r w:rsidRPr="00E961D3">
        <w:rPr>
          <w:rFonts w:ascii="Times New Roman" w:hAnsi="Times New Roman"/>
          <w:sz w:val="24"/>
        </w:rPr>
        <w:t xml:space="preserve"> alused (eRHR vorm)</w:t>
      </w:r>
      <w:r>
        <w:rPr>
          <w:rFonts w:ascii="Times New Roman" w:hAnsi="Times New Roman"/>
          <w:sz w:val="24"/>
        </w:rPr>
        <w:t>.</w:t>
      </w:r>
    </w:p>
    <w:p w14:paraId="112C3C06" w14:textId="77777777" w:rsidR="00B42D28" w:rsidRPr="00DD1961" w:rsidRDefault="00B42D28" w:rsidP="00B42D28">
      <w:pPr>
        <w:spacing w:line="276" w:lineRule="auto"/>
        <w:rPr>
          <w:color w:val="548DD4" w:themeColor="text2" w:themeTint="99"/>
        </w:rPr>
      </w:pPr>
    </w:p>
    <w:p w14:paraId="69075C23" w14:textId="77777777" w:rsidR="00B42D28" w:rsidRPr="00423887" w:rsidRDefault="00B42D28" w:rsidP="00B42D28">
      <w:pPr>
        <w:pStyle w:val="ListParagraph"/>
        <w:numPr>
          <w:ilvl w:val="0"/>
          <w:numId w:val="5"/>
        </w:numPr>
        <w:jc w:val="both"/>
        <w:rPr>
          <w:rFonts w:ascii="Times New Roman" w:hAnsi="Times New Roman"/>
          <w:b/>
          <w:vanish/>
          <w:sz w:val="24"/>
        </w:rPr>
      </w:pPr>
    </w:p>
    <w:p w14:paraId="5A66A020" w14:textId="77777777" w:rsidR="00B42D28" w:rsidRPr="00423887" w:rsidRDefault="00B42D28" w:rsidP="00B42D28">
      <w:pPr>
        <w:pStyle w:val="ListParagraph"/>
        <w:numPr>
          <w:ilvl w:val="0"/>
          <w:numId w:val="5"/>
        </w:numPr>
        <w:jc w:val="both"/>
        <w:rPr>
          <w:rFonts w:ascii="Times New Roman" w:hAnsi="Times New Roman"/>
          <w:b/>
          <w:vanish/>
          <w:sz w:val="24"/>
        </w:rPr>
      </w:pPr>
    </w:p>
    <w:p w14:paraId="2E19DDAB" w14:textId="77777777" w:rsidR="00B42D28" w:rsidRPr="00E961D3" w:rsidRDefault="00B42D28" w:rsidP="00B42D28">
      <w:pPr>
        <w:numPr>
          <w:ilvl w:val="0"/>
          <w:numId w:val="6"/>
        </w:numPr>
        <w:tabs>
          <w:tab w:val="left" w:pos="567"/>
        </w:tabs>
        <w:spacing w:line="276" w:lineRule="auto"/>
        <w:ind w:left="567" w:hanging="567"/>
        <w:rPr>
          <w:b/>
          <w:bCs/>
          <w:szCs w:val="24"/>
        </w:rPr>
      </w:pPr>
      <w:r w:rsidRPr="00E961D3">
        <w:rPr>
          <w:b/>
          <w:bCs/>
        </w:rPr>
        <w:t>Minikonkursil</w:t>
      </w:r>
      <w:r w:rsidRPr="00E961D3">
        <w:rPr>
          <w:b/>
          <w:bCs/>
          <w:szCs w:val="24"/>
        </w:rPr>
        <w:t xml:space="preserve"> osalemise tingimused</w:t>
      </w:r>
    </w:p>
    <w:p w14:paraId="3159AE22" w14:textId="77777777" w:rsidR="00B42D28" w:rsidRDefault="00B42D28" w:rsidP="00B42D28">
      <w:pPr>
        <w:numPr>
          <w:ilvl w:val="1"/>
          <w:numId w:val="6"/>
        </w:numPr>
        <w:spacing w:line="276" w:lineRule="auto"/>
        <w:ind w:left="567" w:hanging="567"/>
        <w:rPr>
          <w:szCs w:val="24"/>
        </w:rPr>
      </w:pPr>
      <w:r w:rsidRPr="006B5CAB">
        <w:rPr>
          <w:szCs w:val="24"/>
        </w:rPr>
        <w:t>Minikonkursi dokumendid moodustavad ühtse terviku. Dokumendid tehakse täitjatele tasuta kättesaadavaks eRHR-i keskkonna vahendusel.</w:t>
      </w:r>
    </w:p>
    <w:p w14:paraId="587A0CFE" w14:textId="77777777" w:rsidR="00B42D28" w:rsidRDefault="00B42D28" w:rsidP="00B42D28">
      <w:pPr>
        <w:numPr>
          <w:ilvl w:val="1"/>
          <w:numId w:val="6"/>
        </w:numPr>
        <w:spacing w:line="276" w:lineRule="auto"/>
        <w:ind w:left="567" w:hanging="567"/>
        <w:rPr>
          <w:szCs w:val="24"/>
        </w:rPr>
      </w:pPr>
      <w:r w:rsidRPr="00D779A1">
        <w:rPr>
          <w:szCs w:val="24"/>
        </w:rPr>
        <w:t xml:space="preserve">Minikonkursi dokumentide sisu kohta saab </w:t>
      </w:r>
      <w:r>
        <w:rPr>
          <w:szCs w:val="24"/>
        </w:rPr>
        <w:t>hankija</w:t>
      </w:r>
      <w:r w:rsidRPr="00D779A1">
        <w:rPr>
          <w:szCs w:val="24"/>
        </w:rPr>
        <w:t xml:space="preserve">lt selgitusi küsida kirjalikul pöördumisel läbi eRHR-i keskkonna teabevahetuse töölehe. </w:t>
      </w:r>
      <w:r>
        <w:rPr>
          <w:szCs w:val="24"/>
        </w:rPr>
        <w:t>Hankija</w:t>
      </w:r>
      <w:r w:rsidRPr="00D779A1">
        <w:rPr>
          <w:szCs w:val="24"/>
        </w:rPr>
        <w:t xml:space="preserve"> vastab esitatud küsimustele esimesel võimalusel, võttes arvesse RHS § 46 lg 1 ja konkreetse minikonkursi pakkumuste esitamise tähtaega.</w:t>
      </w:r>
    </w:p>
    <w:p w14:paraId="5D51406B" w14:textId="77777777" w:rsidR="00B42D28" w:rsidRPr="00D779A1" w:rsidRDefault="00B42D28" w:rsidP="00B42D28">
      <w:pPr>
        <w:spacing w:line="276" w:lineRule="auto"/>
        <w:ind w:left="567"/>
        <w:rPr>
          <w:szCs w:val="24"/>
        </w:rPr>
      </w:pPr>
    </w:p>
    <w:p w14:paraId="1121220A" w14:textId="77777777" w:rsidR="00B42D28" w:rsidRPr="00E961D3" w:rsidRDefault="00B42D28" w:rsidP="00B42D28">
      <w:pPr>
        <w:numPr>
          <w:ilvl w:val="0"/>
          <w:numId w:val="6"/>
        </w:numPr>
        <w:spacing w:line="276" w:lineRule="auto"/>
        <w:ind w:left="567" w:hanging="567"/>
        <w:rPr>
          <w:b/>
          <w:bCs/>
          <w:szCs w:val="24"/>
        </w:rPr>
      </w:pPr>
      <w:r w:rsidRPr="00E961D3">
        <w:rPr>
          <w:b/>
          <w:bCs/>
          <w:szCs w:val="24"/>
        </w:rPr>
        <w:t xml:space="preserve">Pakkumuse vormistamine, esitamine ja muutmine </w:t>
      </w:r>
    </w:p>
    <w:p w14:paraId="3F2392F4" w14:textId="77777777" w:rsidR="00B42D28" w:rsidRPr="00425112" w:rsidRDefault="00B42D28" w:rsidP="00B42D28">
      <w:pPr>
        <w:numPr>
          <w:ilvl w:val="1"/>
          <w:numId w:val="6"/>
        </w:numPr>
        <w:tabs>
          <w:tab w:val="left" w:pos="851"/>
        </w:tabs>
        <w:spacing w:line="276" w:lineRule="auto"/>
        <w:ind w:left="567" w:hanging="567"/>
        <w:rPr>
          <w:szCs w:val="24"/>
        </w:rPr>
      </w:pPr>
      <w:r w:rsidRPr="006B5CAB">
        <w:rPr>
          <w:szCs w:val="24"/>
          <w:lang w:eastAsia="et-EE"/>
        </w:rPr>
        <w:t xml:space="preserve">Pakkumus tuleb esitada elektrooniliselt eRHR-i kaudu aadressil </w:t>
      </w:r>
      <w:hyperlink r:id="rId15" w:history="1">
        <w:r w:rsidRPr="00425112">
          <w:rPr>
            <w:rStyle w:val="Hyperlink"/>
            <w:szCs w:val="24"/>
            <w:lang w:eastAsia="et-EE"/>
          </w:rPr>
          <w:t>https://riigihanked.riik.ee</w:t>
        </w:r>
      </w:hyperlink>
      <w:r w:rsidRPr="00425112">
        <w:rPr>
          <w:szCs w:val="24"/>
          <w:lang w:eastAsia="et-EE"/>
        </w:rPr>
        <w:t>.</w:t>
      </w:r>
    </w:p>
    <w:p w14:paraId="52C972C1" w14:textId="77777777" w:rsidR="00B42D28" w:rsidRPr="00425112" w:rsidRDefault="00B42D28" w:rsidP="00B42D28">
      <w:pPr>
        <w:numPr>
          <w:ilvl w:val="1"/>
          <w:numId w:val="6"/>
        </w:numPr>
        <w:tabs>
          <w:tab w:val="left" w:pos="851"/>
        </w:tabs>
        <w:spacing w:line="276" w:lineRule="auto"/>
        <w:ind w:left="567" w:hanging="567"/>
        <w:rPr>
          <w:szCs w:val="24"/>
        </w:rPr>
      </w:pPr>
      <w:r w:rsidRPr="00425112">
        <w:rPr>
          <w:szCs w:val="24"/>
          <w:lang w:eastAsia="et-EE"/>
        </w:rPr>
        <w:t>Dokumendid vormistada PDF-vormingus või mõnes muus üldlevinud vormingus.</w:t>
      </w:r>
    </w:p>
    <w:p w14:paraId="15444755" w14:textId="77777777" w:rsidR="00B42D28" w:rsidRPr="00425112" w:rsidRDefault="00B42D28" w:rsidP="00B42D28">
      <w:pPr>
        <w:numPr>
          <w:ilvl w:val="1"/>
          <w:numId w:val="6"/>
        </w:numPr>
        <w:tabs>
          <w:tab w:val="left" w:pos="851"/>
        </w:tabs>
        <w:spacing w:line="276" w:lineRule="auto"/>
        <w:ind w:left="567" w:hanging="567"/>
        <w:rPr>
          <w:szCs w:val="24"/>
        </w:rPr>
      </w:pPr>
      <w:r w:rsidRPr="00425112">
        <w:rPr>
          <w:szCs w:val="24"/>
          <w:lang w:eastAsia="et-EE"/>
        </w:rPr>
        <w:t>Kui esitatavate dokumentide koosseisus on kolmanda osapoole poolt kirjalikult allkirjastatud dokumente, esitada dokument skaneeritud kujul ning originaaldokument esitada ainult juhul, kui hankijal on tekkinud kahtlus dokumendi osas.</w:t>
      </w:r>
    </w:p>
    <w:p w14:paraId="77714CF6" w14:textId="77777777" w:rsidR="00B42D28" w:rsidRPr="00425112" w:rsidRDefault="00B42D28" w:rsidP="00B42D28">
      <w:pPr>
        <w:numPr>
          <w:ilvl w:val="1"/>
          <w:numId w:val="6"/>
        </w:numPr>
        <w:tabs>
          <w:tab w:val="left" w:pos="851"/>
        </w:tabs>
        <w:spacing w:line="276" w:lineRule="auto"/>
        <w:ind w:left="567" w:hanging="567"/>
        <w:rPr>
          <w:szCs w:val="24"/>
        </w:rPr>
      </w:pPr>
      <w:r w:rsidRPr="00425112">
        <w:rPr>
          <w:szCs w:val="24"/>
        </w:rPr>
        <w:t xml:space="preserve">Samaväärsuse </w:t>
      </w:r>
      <w:r w:rsidRPr="00425112">
        <w:rPr>
          <w:szCs w:val="24"/>
          <w:lang w:eastAsia="et-EE"/>
        </w:rPr>
        <w:t>pakkumisel</w:t>
      </w:r>
      <w:r w:rsidRPr="00425112">
        <w:rPr>
          <w:szCs w:val="24"/>
        </w:rPr>
        <w:t xml:space="preserve"> peab pakutav lahendus ühtima hankija olemasolevate süsteemidega ning toote ja/või teenuse hind peab sisaldama kõiki migreerimisega seotud lisatasusid. Pakkumus peab vastama esitatud nõuetele või olema sellega vähemalt samaväärne, kuid ühilduma olemasoleva lahendusega. Samaväärsust tõendavad andmed ja dokumendid esitab pakkuja koos pakkumusega. Pakkumuse samaväärsust kontrollivad ja hindavad hankija vastavate erialateadmistega töötajad.</w:t>
      </w:r>
    </w:p>
    <w:p w14:paraId="50A26557" w14:textId="77777777" w:rsidR="00B42D28" w:rsidRPr="00425112" w:rsidRDefault="00B42D28" w:rsidP="00B42D28">
      <w:pPr>
        <w:numPr>
          <w:ilvl w:val="1"/>
          <w:numId w:val="6"/>
        </w:numPr>
        <w:tabs>
          <w:tab w:val="left" w:pos="851"/>
        </w:tabs>
        <w:spacing w:line="276" w:lineRule="auto"/>
        <w:ind w:left="567" w:hanging="567"/>
        <w:rPr>
          <w:rStyle w:val="cf01"/>
          <w:rFonts w:ascii="Times New Roman" w:hAnsi="Times New Roman" w:cs="Times New Roman"/>
          <w:color w:val="4F81BD" w:themeColor="accent1"/>
          <w:sz w:val="24"/>
          <w:szCs w:val="24"/>
        </w:rPr>
      </w:pPr>
      <w:r w:rsidRPr="00425112">
        <w:rPr>
          <w:rStyle w:val="cf01"/>
          <w:rFonts w:ascii="Times New Roman" w:hAnsi="Times New Roman" w:cs="Times New Roman"/>
          <w:sz w:val="24"/>
          <w:szCs w:val="24"/>
        </w:rPr>
        <w:t>Iga viidet, mille hankija teeb minikonkursi alusdokumentides mõnele RHS-i § 88 lõikes 2 nimetatud alusele (standardile, tehnilisele tunnustusele, tehnilisele kontrollisüsteemile, märgisele vms), tuleb lugeda selliselt, et see on täiendatud märkega „või sellega samaväärne“. Iga viidet, mille hankija teeb minikonkursi alusdokumentides ostuallikale, protsessile, kaubamärgile, patendile, tüübile, päritolule, märgisele või tootmisviisile, tuleb lugeda selliselt, et see on täiendatud märkega „või sellega samaväärne“. Samaväärsus tähendab täpselt samu kasutusomadusi ja funktsionaalsusi. Samaväärse lahenduse korral tuleb pakkujal pakkumuses esitada seda tõendavad dokumendid.</w:t>
      </w:r>
    </w:p>
    <w:p w14:paraId="01168AB5" w14:textId="77777777" w:rsidR="00B42D28" w:rsidRPr="00425112" w:rsidRDefault="00B42D28" w:rsidP="00B42D28">
      <w:pPr>
        <w:tabs>
          <w:tab w:val="left" w:pos="851"/>
        </w:tabs>
        <w:spacing w:line="276" w:lineRule="auto"/>
        <w:ind w:left="567"/>
        <w:rPr>
          <w:color w:val="4F81BD" w:themeColor="accent1"/>
        </w:rPr>
      </w:pPr>
    </w:p>
    <w:p w14:paraId="58D3FBE6" w14:textId="77777777" w:rsidR="00B42D28" w:rsidRPr="00A77FF7" w:rsidRDefault="00B42D28" w:rsidP="00B42D28">
      <w:pPr>
        <w:numPr>
          <w:ilvl w:val="0"/>
          <w:numId w:val="6"/>
        </w:numPr>
        <w:tabs>
          <w:tab w:val="left" w:pos="567"/>
        </w:tabs>
        <w:spacing w:line="276" w:lineRule="auto"/>
        <w:ind w:left="567" w:hanging="567"/>
        <w:rPr>
          <w:b/>
          <w:szCs w:val="24"/>
        </w:rPr>
      </w:pPr>
      <w:r w:rsidRPr="00A77FF7">
        <w:rPr>
          <w:b/>
          <w:szCs w:val="24"/>
        </w:rPr>
        <w:t>Pakkumuste vastavuse kontrollimine</w:t>
      </w:r>
    </w:p>
    <w:p w14:paraId="57737E98" w14:textId="77777777" w:rsidR="00B42D28" w:rsidRDefault="00B42D28" w:rsidP="00B42D28">
      <w:pPr>
        <w:numPr>
          <w:ilvl w:val="1"/>
          <w:numId w:val="6"/>
        </w:numPr>
        <w:tabs>
          <w:tab w:val="left" w:pos="851"/>
        </w:tabs>
        <w:spacing w:line="276" w:lineRule="auto"/>
        <w:ind w:left="567" w:hanging="567"/>
      </w:pPr>
      <w:r w:rsidRPr="00E961D3">
        <w:rPr>
          <w:szCs w:val="24"/>
          <w:lang w:eastAsia="et-EE"/>
        </w:rPr>
        <w:t>Pakkumus</w:t>
      </w:r>
      <w:r w:rsidRPr="006B5CAB">
        <w:t xml:space="preserve"> </w:t>
      </w:r>
      <w:r>
        <w:t>tunnistatakse vastavaks, kui see vastab kõikidele</w:t>
      </w:r>
      <w:r w:rsidRPr="006B5CAB">
        <w:t xml:space="preserve"> minikonkursi tingimustele ning selles ei esine sisulisi kõrvalekaldumisi esitatud tingimustest. </w:t>
      </w:r>
    </w:p>
    <w:p w14:paraId="04CC82EF" w14:textId="77777777" w:rsidR="00B42D28" w:rsidRPr="00EA7DF7" w:rsidRDefault="00B42D28" w:rsidP="00B42D28">
      <w:pPr>
        <w:numPr>
          <w:ilvl w:val="1"/>
          <w:numId w:val="6"/>
        </w:numPr>
        <w:tabs>
          <w:tab w:val="left" w:pos="851"/>
        </w:tabs>
        <w:spacing w:line="276" w:lineRule="auto"/>
        <w:ind w:left="567" w:hanging="567"/>
      </w:pPr>
      <w:r w:rsidRPr="00E961D3">
        <w:rPr>
          <w:szCs w:val="24"/>
          <w:lang w:eastAsia="et-EE"/>
        </w:rPr>
        <w:t>Pakkumuses</w:t>
      </w:r>
      <w:r w:rsidRPr="008933E6">
        <w:rPr>
          <w:shd w:val="clear" w:color="auto" w:fill="FFFFFF"/>
        </w:rPr>
        <w:t xml:space="preserve"> esitatud andmed peavad olema tõesed, esitatud viisil ja piisava detailsusega, mis võimaldavad hankijal kontrollida nende vastavust riigihanke alusdokumentides toodud tingimustele.</w:t>
      </w:r>
    </w:p>
    <w:p w14:paraId="34C7CC03" w14:textId="77777777" w:rsidR="00B42D28" w:rsidRDefault="00B42D28" w:rsidP="00B42D28">
      <w:pPr>
        <w:numPr>
          <w:ilvl w:val="1"/>
          <w:numId w:val="6"/>
        </w:numPr>
        <w:tabs>
          <w:tab w:val="left" w:pos="851"/>
        </w:tabs>
        <w:spacing w:line="276" w:lineRule="auto"/>
        <w:ind w:left="567" w:hanging="567"/>
        <w:rPr>
          <w:szCs w:val="24"/>
        </w:rPr>
      </w:pPr>
      <w:r>
        <w:rPr>
          <w:szCs w:val="24"/>
          <w:lang w:eastAsia="et-EE"/>
        </w:rPr>
        <w:t>Hankija</w:t>
      </w:r>
      <w:r w:rsidRPr="00D779A1">
        <w:rPr>
          <w:szCs w:val="24"/>
        </w:rPr>
        <w:t xml:space="preserve"> nõudel peab täitja pakkumuses esitatud teavet selgitama, piiritlema või täpsustama.</w:t>
      </w:r>
    </w:p>
    <w:p w14:paraId="6FEA69FA" w14:textId="77777777" w:rsidR="00B42D28" w:rsidRDefault="00B42D28" w:rsidP="00B42D28">
      <w:pPr>
        <w:numPr>
          <w:ilvl w:val="1"/>
          <w:numId w:val="6"/>
        </w:numPr>
        <w:tabs>
          <w:tab w:val="left" w:pos="567"/>
        </w:tabs>
        <w:spacing w:line="276" w:lineRule="auto"/>
        <w:ind w:left="567" w:hanging="567"/>
        <w:rPr>
          <w:szCs w:val="24"/>
        </w:rPr>
      </w:pPr>
      <w:r>
        <w:rPr>
          <w:szCs w:val="24"/>
        </w:rPr>
        <w:t>Hankija</w:t>
      </w:r>
      <w:r w:rsidRPr="00D779A1">
        <w:rPr>
          <w:szCs w:val="24"/>
        </w:rPr>
        <w:t>l on õigus lükata pakkumus tagasi, kui see ei vasta minikonkursis esitatud tingimustele ning juhul, kui täitja on esitanud lisatingimusi, mis ei ole kooskõlas minikonkursi tingimustega.</w:t>
      </w:r>
    </w:p>
    <w:p w14:paraId="0EF08253" w14:textId="77777777" w:rsidR="00B42D28" w:rsidRPr="004A0DB4" w:rsidRDefault="00B42D28" w:rsidP="00B42D28">
      <w:pPr>
        <w:numPr>
          <w:ilvl w:val="1"/>
          <w:numId w:val="6"/>
        </w:numPr>
        <w:tabs>
          <w:tab w:val="left" w:pos="567"/>
        </w:tabs>
        <w:spacing w:line="276" w:lineRule="auto"/>
        <w:ind w:left="567" w:hanging="567"/>
        <w:rPr>
          <w:szCs w:val="24"/>
        </w:rPr>
      </w:pPr>
      <w:r>
        <w:t>Hankija lükkab pakkumuse tagasi, kui hankelepingu sõlmimine selle pakkumuse alusel rikuks rahvusvahelist sanktsiooni rahvusvahelise sanktsiooni seaduse tähenduses (RSansS).</w:t>
      </w:r>
    </w:p>
    <w:p w14:paraId="3BC47036" w14:textId="77777777" w:rsidR="00B42D28" w:rsidRDefault="00B42D28" w:rsidP="00B42D28">
      <w:pPr>
        <w:numPr>
          <w:ilvl w:val="1"/>
          <w:numId w:val="6"/>
        </w:numPr>
        <w:tabs>
          <w:tab w:val="left" w:pos="567"/>
        </w:tabs>
        <w:spacing w:line="276" w:lineRule="auto"/>
        <w:ind w:left="567" w:hanging="567"/>
        <w:rPr>
          <w:szCs w:val="24"/>
        </w:rPr>
      </w:pPr>
      <w:r w:rsidRPr="004A0DB4">
        <w:rPr>
          <w:szCs w:val="24"/>
        </w:rPr>
        <w:t>Tellija võib kontrollida pakkumuste vastavust riigihanke alusdokumentides esitatud tingimustele ning hinnata vastavaks tunnistatud pakkumusi RHS-is sätestatud korras enne pakkujate suhtes kõrvaldamise aluste puudumise ja kvalifikatsiooni kontrollimist (RHS § 52 lg 3).</w:t>
      </w:r>
    </w:p>
    <w:p w14:paraId="7A119B16" w14:textId="77777777" w:rsidR="00B42D28" w:rsidRPr="004A0DB4" w:rsidRDefault="00B42D28" w:rsidP="00B42D28">
      <w:pPr>
        <w:tabs>
          <w:tab w:val="left" w:pos="567"/>
        </w:tabs>
        <w:spacing w:line="276" w:lineRule="auto"/>
        <w:ind w:left="567"/>
        <w:rPr>
          <w:szCs w:val="24"/>
        </w:rPr>
      </w:pPr>
    </w:p>
    <w:p w14:paraId="1077822C" w14:textId="77777777" w:rsidR="00B42D28" w:rsidRPr="006C0B51" w:rsidRDefault="00B42D28" w:rsidP="00B42D28">
      <w:pPr>
        <w:numPr>
          <w:ilvl w:val="0"/>
          <w:numId w:val="6"/>
        </w:numPr>
        <w:tabs>
          <w:tab w:val="left" w:pos="709"/>
        </w:tabs>
        <w:spacing w:line="276" w:lineRule="auto"/>
        <w:ind w:left="567" w:hanging="567"/>
        <w:rPr>
          <w:b/>
          <w:szCs w:val="24"/>
        </w:rPr>
      </w:pPr>
      <w:r w:rsidRPr="006C0B51">
        <w:rPr>
          <w:b/>
          <w:szCs w:val="24"/>
        </w:rPr>
        <w:t>Pakkumuste hindamine, edukaks tunnistamine või  tagasi lükkamine</w:t>
      </w:r>
    </w:p>
    <w:p w14:paraId="53C98A1B" w14:textId="77777777" w:rsidR="00B42D28" w:rsidRPr="006C0B51" w:rsidRDefault="00B42D28" w:rsidP="00B42D28">
      <w:pPr>
        <w:numPr>
          <w:ilvl w:val="1"/>
          <w:numId w:val="6"/>
        </w:numPr>
        <w:tabs>
          <w:tab w:val="left" w:pos="567"/>
        </w:tabs>
        <w:spacing w:line="276" w:lineRule="auto"/>
        <w:ind w:left="567" w:hanging="567"/>
        <w:rPr>
          <w:szCs w:val="24"/>
        </w:rPr>
      </w:pPr>
      <w:r w:rsidRPr="006C0B51">
        <w:rPr>
          <w:szCs w:val="24"/>
        </w:rPr>
        <w:t>Tellijal on õigus kõik minikonkursil esitatud pakkumused tagasi lükata kui:</w:t>
      </w:r>
    </w:p>
    <w:p w14:paraId="75C40985" w14:textId="77777777" w:rsidR="00B42D28" w:rsidRPr="006C0B51" w:rsidRDefault="00B42D28" w:rsidP="00B42D28">
      <w:pPr>
        <w:pStyle w:val="ListParagraph"/>
        <w:numPr>
          <w:ilvl w:val="2"/>
          <w:numId w:val="6"/>
        </w:numPr>
        <w:tabs>
          <w:tab w:val="left" w:pos="567"/>
        </w:tabs>
        <w:spacing w:line="276" w:lineRule="auto"/>
        <w:jc w:val="both"/>
        <w:rPr>
          <w:rFonts w:ascii="Times New Roman" w:hAnsi="Times New Roman"/>
          <w:sz w:val="24"/>
        </w:rPr>
      </w:pPr>
      <w:r w:rsidRPr="006C0B51">
        <w:rPr>
          <w:rFonts w:ascii="Times New Roman" w:hAnsi="Times New Roman"/>
          <w:sz w:val="24"/>
        </w:rPr>
        <w:t>kõigi pakkumuste maksumused ületavad hankelepingu eeldatavat maksumust;</w:t>
      </w:r>
    </w:p>
    <w:p w14:paraId="7CAE19BD" w14:textId="77777777" w:rsidR="00B42D28" w:rsidRPr="006C0B51" w:rsidRDefault="00B42D28" w:rsidP="00B42D28">
      <w:pPr>
        <w:pStyle w:val="ListParagraph"/>
        <w:numPr>
          <w:ilvl w:val="2"/>
          <w:numId w:val="6"/>
        </w:numPr>
        <w:tabs>
          <w:tab w:val="left" w:pos="567"/>
        </w:tabs>
        <w:spacing w:line="276" w:lineRule="auto"/>
        <w:jc w:val="both"/>
        <w:rPr>
          <w:rFonts w:ascii="Times New Roman" w:hAnsi="Times New Roman"/>
          <w:sz w:val="24"/>
        </w:rPr>
      </w:pPr>
      <w:r w:rsidRPr="006C0B51">
        <w:rPr>
          <w:rFonts w:ascii="Times New Roman" w:hAnsi="Times New Roman"/>
          <w:sz w:val="24"/>
        </w:rPr>
        <w:t>kõigi vastavaks tunnistatud pakkumuste maksumused ületavad hankelepingu eeldatavat maksumust;</w:t>
      </w:r>
    </w:p>
    <w:p w14:paraId="3E1E738D" w14:textId="77777777" w:rsidR="00B42D28" w:rsidRPr="006C0B51" w:rsidRDefault="00B42D28" w:rsidP="00B42D28">
      <w:pPr>
        <w:pStyle w:val="ListParagraph"/>
        <w:numPr>
          <w:ilvl w:val="2"/>
          <w:numId w:val="6"/>
        </w:numPr>
        <w:tabs>
          <w:tab w:val="left" w:pos="567"/>
        </w:tabs>
        <w:spacing w:line="276" w:lineRule="auto"/>
        <w:jc w:val="both"/>
        <w:rPr>
          <w:rFonts w:ascii="Times New Roman" w:hAnsi="Times New Roman"/>
          <w:sz w:val="24"/>
        </w:rPr>
      </w:pPr>
      <w:r w:rsidRPr="006C0B51">
        <w:rPr>
          <w:rFonts w:ascii="Times New Roman" w:hAnsi="Times New Roman"/>
          <w:sz w:val="24"/>
        </w:rPr>
        <w:t>ei ole tagatud piisav konkurents (laekub kaks või vähem pakkumust või vastavaks tunnistatakse ainult üks pakkumus);</w:t>
      </w:r>
    </w:p>
    <w:p w14:paraId="3143C6DC" w14:textId="77777777" w:rsidR="00B42D28" w:rsidRPr="006C0B51" w:rsidRDefault="00B42D28" w:rsidP="00B42D28">
      <w:pPr>
        <w:pStyle w:val="ListParagraph"/>
        <w:numPr>
          <w:ilvl w:val="2"/>
          <w:numId w:val="6"/>
        </w:numPr>
        <w:tabs>
          <w:tab w:val="left" w:pos="567"/>
        </w:tabs>
        <w:spacing w:line="276" w:lineRule="auto"/>
        <w:jc w:val="both"/>
        <w:rPr>
          <w:rFonts w:ascii="Times New Roman" w:hAnsi="Times New Roman"/>
          <w:sz w:val="24"/>
        </w:rPr>
      </w:pPr>
      <w:r w:rsidRPr="006C0B51">
        <w:rPr>
          <w:rFonts w:ascii="Times New Roman" w:hAnsi="Times New Roman"/>
          <w:sz w:val="24"/>
        </w:rPr>
        <w:t>hankelepingu sõlmimine on muutunud võimatuks või ebaotstarbekaks hankijast sõltumatutel põhjustel;</w:t>
      </w:r>
    </w:p>
    <w:p w14:paraId="1030A936" w14:textId="77777777" w:rsidR="00B42D28" w:rsidRPr="006C0B51" w:rsidRDefault="00B42D28" w:rsidP="00B42D28">
      <w:pPr>
        <w:pStyle w:val="ListParagraph"/>
        <w:numPr>
          <w:ilvl w:val="2"/>
          <w:numId w:val="6"/>
        </w:numPr>
        <w:tabs>
          <w:tab w:val="left" w:pos="567"/>
        </w:tabs>
        <w:spacing w:line="276" w:lineRule="auto"/>
        <w:jc w:val="both"/>
        <w:rPr>
          <w:rFonts w:ascii="Times New Roman" w:hAnsi="Times New Roman"/>
          <w:sz w:val="24"/>
        </w:rPr>
      </w:pPr>
      <w:r w:rsidRPr="006C0B51">
        <w:rPr>
          <w:rFonts w:ascii="Times New Roman" w:hAnsi="Times New Roman"/>
          <w:sz w:val="24"/>
        </w:rPr>
        <w:t>minikonkursi käigus muutuvad minikonkursi väljakuulutamise eeldused, mis muudavad minikonkursi realiseerimise võimatuks (hankija eelarveliste vahendite kärpimine, vms)</w:t>
      </w:r>
    </w:p>
    <w:p w14:paraId="35D83471" w14:textId="77777777" w:rsidR="00B42D28" w:rsidRPr="006C0B51" w:rsidRDefault="00B42D28" w:rsidP="00B42D28">
      <w:pPr>
        <w:pStyle w:val="ListParagraph"/>
        <w:numPr>
          <w:ilvl w:val="1"/>
          <w:numId w:val="6"/>
        </w:numPr>
        <w:tabs>
          <w:tab w:val="left" w:pos="567"/>
        </w:tabs>
        <w:spacing w:line="276" w:lineRule="auto"/>
        <w:ind w:left="567" w:hanging="567"/>
        <w:jc w:val="both"/>
        <w:rPr>
          <w:rFonts w:ascii="Times New Roman" w:hAnsi="Times New Roman"/>
          <w:sz w:val="24"/>
        </w:rPr>
      </w:pPr>
      <w:r w:rsidRPr="006C0B51">
        <w:rPr>
          <w:rFonts w:ascii="Times New Roman" w:hAnsi="Times New Roman"/>
          <w:sz w:val="24"/>
        </w:rPr>
        <w:t>Tellijal on õigus tunnistada põhjendatud vajaduse korral omal algatusel minikonkurss kehtetuks. Põhjendatud vajaduseks võib olla eelkõige, kuid mitte ainult:</w:t>
      </w:r>
    </w:p>
    <w:p w14:paraId="426092E4" w14:textId="77777777" w:rsidR="00B42D28" w:rsidRPr="006C0B51" w:rsidRDefault="00B42D28" w:rsidP="00B42D28">
      <w:pPr>
        <w:pStyle w:val="ListParagraph"/>
        <w:numPr>
          <w:ilvl w:val="2"/>
          <w:numId w:val="6"/>
        </w:numPr>
        <w:tabs>
          <w:tab w:val="left" w:pos="567"/>
        </w:tabs>
        <w:spacing w:line="276" w:lineRule="auto"/>
        <w:jc w:val="both"/>
        <w:rPr>
          <w:rFonts w:ascii="Times New Roman" w:hAnsi="Times New Roman"/>
          <w:sz w:val="24"/>
        </w:rPr>
      </w:pPr>
      <w:r w:rsidRPr="006C0B51">
        <w:rPr>
          <w:rFonts w:ascii="Times New Roman" w:hAnsi="Times New Roman"/>
          <w:sz w:val="24"/>
        </w:rPr>
        <w:t>tekib vajadus minikonkursi eset olulisel määral muuta;</w:t>
      </w:r>
    </w:p>
    <w:p w14:paraId="0DF00561" w14:textId="77777777" w:rsidR="00B42D28" w:rsidRPr="006C0B51" w:rsidRDefault="00B42D28" w:rsidP="00B42D28">
      <w:pPr>
        <w:pStyle w:val="ListParagraph"/>
        <w:numPr>
          <w:ilvl w:val="2"/>
          <w:numId w:val="6"/>
        </w:numPr>
        <w:tabs>
          <w:tab w:val="left" w:pos="567"/>
        </w:tabs>
        <w:spacing w:line="276" w:lineRule="auto"/>
        <w:jc w:val="both"/>
        <w:rPr>
          <w:rFonts w:ascii="Times New Roman" w:hAnsi="Times New Roman"/>
          <w:sz w:val="24"/>
        </w:rPr>
      </w:pPr>
      <w:r w:rsidRPr="006C0B51">
        <w:rPr>
          <w:rFonts w:ascii="Times New Roman" w:hAnsi="Times New Roman"/>
          <w:sz w:val="24"/>
        </w:rPr>
        <w:t>minikonkursi läbiviimise aluseks olevad tingimused on oluliselt muutunud ja seetõttu osutub hankelepingu sõlmimine mittevajalikuks või võimatuks;</w:t>
      </w:r>
    </w:p>
    <w:p w14:paraId="4C0B17D4" w14:textId="77777777" w:rsidR="00B42D28" w:rsidRPr="006C0B51" w:rsidRDefault="00B42D28" w:rsidP="00B42D28">
      <w:pPr>
        <w:pStyle w:val="ListParagraph"/>
        <w:numPr>
          <w:ilvl w:val="2"/>
          <w:numId w:val="6"/>
        </w:numPr>
        <w:tabs>
          <w:tab w:val="left" w:pos="567"/>
        </w:tabs>
        <w:spacing w:line="276" w:lineRule="auto"/>
        <w:jc w:val="both"/>
        <w:rPr>
          <w:rFonts w:ascii="Times New Roman" w:hAnsi="Times New Roman"/>
          <w:sz w:val="24"/>
        </w:rPr>
      </w:pPr>
      <w:r w:rsidRPr="006C0B51">
        <w:rPr>
          <w:rFonts w:ascii="Times New Roman" w:hAnsi="Times New Roman"/>
          <w:sz w:val="24"/>
        </w:rPr>
        <w:t>minikonkursi käigus ilmnenud ebakõlasid ei ole võimalik kõrvaldada ega minikonkurssi seetõttu ka õiguspäraselt lõpule viia..</w:t>
      </w:r>
    </w:p>
    <w:p w14:paraId="609E05B1" w14:textId="77777777" w:rsidR="00B42D28" w:rsidRDefault="00B42D28" w:rsidP="00B42D28">
      <w:pPr>
        <w:numPr>
          <w:ilvl w:val="1"/>
          <w:numId w:val="6"/>
        </w:numPr>
        <w:tabs>
          <w:tab w:val="left" w:pos="567"/>
        </w:tabs>
        <w:spacing w:line="276" w:lineRule="auto"/>
        <w:ind w:left="567" w:hanging="567"/>
      </w:pPr>
      <w:r w:rsidRPr="006C0B51">
        <w:t xml:space="preserve">Hankija </w:t>
      </w:r>
      <w:r w:rsidRPr="006C0B51">
        <w:rPr>
          <w:szCs w:val="24"/>
        </w:rPr>
        <w:t>hindab</w:t>
      </w:r>
      <w:r w:rsidRPr="006C0B51">
        <w:t xml:space="preserve"> pakkumusi vastavalt raamlepingu punktile 5.3.8. </w:t>
      </w:r>
      <w:r>
        <w:t xml:space="preserve">majanduslikult soodsaima </w:t>
      </w:r>
      <w:r w:rsidRPr="006C0B51">
        <w:t xml:space="preserve">hindamiskriteeriumi </w:t>
      </w:r>
      <w:r>
        <w:t xml:space="preserve">alusel, milleks on </w:t>
      </w:r>
      <w:r w:rsidRPr="006C0B51">
        <w:t>madalaim maksumus.</w:t>
      </w:r>
    </w:p>
    <w:p w14:paraId="294D43CC" w14:textId="77777777" w:rsidR="00B42D28" w:rsidRPr="006C0B51" w:rsidRDefault="00B42D28" w:rsidP="00B42D28">
      <w:pPr>
        <w:numPr>
          <w:ilvl w:val="1"/>
          <w:numId w:val="6"/>
        </w:numPr>
        <w:tabs>
          <w:tab w:val="left" w:pos="567"/>
        </w:tabs>
        <w:spacing w:line="276" w:lineRule="auto"/>
        <w:ind w:left="567" w:hanging="567"/>
      </w:pPr>
      <w:r w:rsidRPr="00432C10">
        <w:t xml:space="preserve">Tellija sõlmib hankelepingu täitjaga, kelle poolt esitatud pakkumus on majanduslikult soodsaim, vastavalt hindamise kriteeriumitele. Kui pakkumuste hindamise kriteeriumite kohaselt on soodsaima pakkumuse teinud mitu pakkujat, siis selgitatakse edukas pakkuja </w:t>
      </w:r>
      <w:r w:rsidRPr="00432C10">
        <w:lastRenderedPageBreak/>
        <w:t>välja liisuheitmise teel, mis toimub parimate võrdsete pakkumuste esitanud pakkujate esindajate/volitatud esindajate juuresolekul (sh ka nt veebikoosolekul). Liisuheitmise koht ja ajakava (sh ka nt vajadusel veebikoosolek) teatatakse eelnevalt pakkujatele. Liisuheitmine protokollitakse (protokolliks loetakse mh ka hankija poolt jäädvustatud heli- või videosalvestist)</w:t>
      </w:r>
      <w:r>
        <w:t>.</w:t>
      </w:r>
    </w:p>
    <w:p w14:paraId="142EC38D" w14:textId="77777777" w:rsidR="00B42D28" w:rsidRDefault="00B42D28" w:rsidP="00B42D28">
      <w:pPr>
        <w:tabs>
          <w:tab w:val="left" w:pos="567"/>
        </w:tabs>
        <w:spacing w:line="276" w:lineRule="auto"/>
        <w:ind w:left="567"/>
      </w:pPr>
    </w:p>
    <w:p w14:paraId="6110B4EA" w14:textId="77777777" w:rsidR="00B42D28" w:rsidRPr="00CE4930" w:rsidRDefault="00B42D28" w:rsidP="00B42D28">
      <w:pPr>
        <w:numPr>
          <w:ilvl w:val="0"/>
          <w:numId w:val="6"/>
        </w:numPr>
        <w:tabs>
          <w:tab w:val="left" w:pos="709"/>
        </w:tabs>
        <w:spacing w:line="276" w:lineRule="auto"/>
        <w:ind w:left="567" w:hanging="567"/>
        <w:rPr>
          <w:b/>
          <w:bCs/>
        </w:rPr>
      </w:pPr>
      <w:r w:rsidRPr="00CE4930">
        <w:rPr>
          <w:b/>
          <w:bCs/>
        </w:rPr>
        <w:t xml:space="preserve">Kõrvaldamise aluste kontrollimine, eduka pakkuja äralangemine </w:t>
      </w:r>
    </w:p>
    <w:p w14:paraId="58F953CA" w14:textId="6E6786E4" w:rsidR="00B42D28" w:rsidRPr="002B7F78" w:rsidRDefault="00B42D28" w:rsidP="00B42D28">
      <w:pPr>
        <w:numPr>
          <w:ilvl w:val="1"/>
          <w:numId w:val="6"/>
        </w:numPr>
        <w:tabs>
          <w:tab w:val="left" w:pos="567"/>
        </w:tabs>
        <w:spacing w:line="276" w:lineRule="auto"/>
        <w:ind w:left="567" w:hanging="567"/>
        <w:rPr>
          <w:szCs w:val="24"/>
        </w:rPr>
      </w:pPr>
      <w:r w:rsidRPr="00C91D25">
        <w:rPr>
          <w:szCs w:val="24"/>
        </w:rPr>
        <w:t>Hankija</w:t>
      </w:r>
      <w:r w:rsidRPr="00CB02B5">
        <w:rPr>
          <w:szCs w:val="24"/>
        </w:rPr>
        <w:t xml:space="preserve"> </w:t>
      </w:r>
      <w:r w:rsidRPr="00C91D25">
        <w:rPr>
          <w:szCs w:val="24"/>
        </w:rPr>
        <w:t>kontrollib</w:t>
      </w:r>
      <w:r w:rsidRPr="00CB02B5">
        <w:rPr>
          <w:szCs w:val="24"/>
        </w:rPr>
        <w:t xml:space="preserve"> e</w:t>
      </w:r>
      <w:r w:rsidRPr="002B7F78">
        <w:rPr>
          <w:szCs w:val="24"/>
        </w:rPr>
        <w:t xml:space="preserve">nne hankelepingu </w:t>
      </w:r>
      <w:r w:rsidRPr="00F45A8A">
        <w:rPr>
          <w:szCs w:val="24"/>
        </w:rPr>
        <w:t xml:space="preserve">sõlmimist edukal pakkujal RHS </w:t>
      </w:r>
      <w:r w:rsidRPr="00CB02B5">
        <w:rPr>
          <w:szCs w:val="24"/>
        </w:rPr>
        <w:t>§ 95 lõikes 1 ja 4 nimetatud  kõrvaldamise aluseid s</w:t>
      </w:r>
      <w:r w:rsidRPr="002B7F78">
        <w:rPr>
          <w:szCs w:val="24"/>
        </w:rPr>
        <w:t xml:space="preserve">ama paragrahvi lõigetes 2, 3, 5 ja 6 sätestatud tingimustel. </w:t>
      </w:r>
    </w:p>
    <w:p w14:paraId="701063F7" w14:textId="77777777" w:rsidR="00B42D28" w:rsidRPr="002A15E2" w:rsidRDefault="00B42D28" w:rsidP="00B42D28">
      <w:pPr>
        <w:numPr>
          <w:ilvl w:val="1"/>
          <w:numId w:val="6"/>
        </w:numPr>
        <w:tabs>
          <w:tab w:val="left" w:pos="567"/>
        </w:tabs>
        <w:spacing w:line="276" w:lineRule="auto"/>
        <w:ind w:left="567" w:hanging="567"/>
      </w:pPr>
      <w:r>
        <w:rPr>
          <w:szCs w:val="24"/>
        </w:rPr>
        <w:t xml:space="preserve">Minikonkursil kohaldatakse heastamist. </w:t>
      </w:r>
      <w:bookmarkStart w:id="3" w:name="_Hlk158632263"/>
      <w:r>
        <w:rPr>
          <w:szCs w:val="24"/>
        </w:rPr>
        <w:t>P</w:t>
      </w:r>
      <w:r w:rsidRPr="002B7F78">
        <w:rPr>
          <w:szCs w:val="24"/>
        </w:rPr>
        <w:t>akkuja</w:t>
      </w:r>
      <w:r>
        <w:rPr>
          <w:szCs w:val="24"/>
        </w:rPr>
        <w:t xml:space="preserve"> </w:t>
      </w:r>
      <w:r w:rsidRPr="0050755C">
        <w:rPr>
          <w:szCs w:val="24"/>
        </w:rPr>
        <w:t>esita</w:t>
      </w:r>
      <w:r>
        <w:rPr>
          <w:szCs w:val="24"/>
        </w:rPr>
        <w:t xml:space="preserve">b vajadusel </w:t>
      </w:r>
      <w:bookmarkEnd w:id="3"/>
      <w:r w:rsidRPr="0050755C">
        <w:rPr>
          <w:szCs w:val="24"/>
        </w:rPr>
        <w:t>kohased ja põhjendatud heastamismeetmed</w:t>
      </w:r>
      <w:r w:rsidRPr="002A15E2">
        <w:rPr>
          <w:szCs w:val="24"/>
        </w:rPr>
        <w:t xml:space="preserve"> kooskõlas RHS § 97 </w:t>
      </w:r>
      <w:r w:rsidRPr="0050755C">
        <w:rPr>
          <w:szCs w:val="24"/>
        </w:rPr>
        <w:t>.</w:t>
      </w:r>
      <w:r w:rsidRPr="002A15E2">
        <w:rPr>
          <w:szCs w:val="24"/>
        </w:rPr>
        <w:t xml:space="preserve"> </w:t>
      </w:r>
    </w:p>
    <w:p w14:paraId="3FD7F709" w14:textId="77777777" w:rsidR="00B42D28" w:rsidRDefault="00B42D28" w:rsidP="00B42D28">
      <w:pPr>
        <w:numPr>
          <w:ilvl w:val="1"/>
          <w:numId w:val="6"/>
        </w:numPr>
        <w:tabs>
          <w:tab w:val="left" w:pos="567"/>
        </w:tabs>
        <w:spacing w:line="276" w:lineRule="auto"/>
        <w:ind w:left="567" w:hanging="567"/>
      </w:pPr>
      <w:r w:rsidRPr="002A15E2">
        <w:rPr>
          <w:szCs w:val="24"/>
        </w:rPr>
        <w:t xml:space="preserve">Kui </w:t>
      </w:r>
      <w:r>
        <w:rPr>
          <w:szCs w:val="24"/>
        </w:rPr>
        <w:t xml:space="preserve">edukas </w:t>
      </w:r>
      <w:r w:rsidRPr="002A15E2">
        <w:rPr>
          <w:szCs w:val="24"/>
        </w:rPr>
        <w:t>pakkuja kõrvaldatakse minikonkursilt, minikonkursil edukas pakkuja võtab hankijast mitteolenevatel põhjustel</w:t>
      </w:r>
      <w:r>
        <w:t xml:space="preserve"> oma pakkumuse tagasi või ei allkirjasta hankelepingut, mida käsitletakse kui pakkumuse tagasi võtmist RHS § 119 tähenduses, hindab hankija kõiki ülejäänud minikonkursi pakkumusi uuesti ja tunnistab soodsaimaks pakkumuse, mis on pakkumustest majanduslikult soodsaim. Hankija ei ole kohustatud pakkumusi uuesti hindama ja võib tunnistada soodsaimaks esialgsel hindamisel edukuselt järgmiseks osutunud pakkumuse juhul, kui soodsaimaks tunnistatud pakkumuse äralangemine ei saa mõjutada ülejäänud pakkumuste omavahelist järjestust.</w:t>
      </w:r>
    </w:p>
    <w:p w14:paraId="4BAD3580" w14:textId="77777777" w:rsidR="00E63F9E" w:rsidRDefault="00E63F9E">
      <w:pPr>
        <w:pStyle w:val="BodyText"/>
        <w:spacing w:before="120" w:after="0" w:line="240" w:lineRule="auto"/>
      </w:pPr>
    </w:p>
    <w:p w14:paraId="648D5B24" w14:textId="77777777" w:rsidR="00B42D28" w:rsidRPr="00656F48" w:rsidRDefault="00B42D28">
      <w:pPr>
        <w:pStyle w:val="BodyText"/>
        <w:spacing w:before="120" w:after="0" w:line="240" w:lineRule="auto"/>
      </w:pPr>
    </w:p>
    <w:tbl>
      <w:tblPr>
        <w:tblW w:w="934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342"/>
      </w:tblGrid>
      <w:tr w:rsidR="003B4276" w:rsidRPr="00656F48" w14:paraId="4A12679C" w14:textId="77777777" w:rsidTr="000653E6">
        <w:trPr>
          <w:cantSplit/>
          <w:trHeight w:val="276"/>
          <w:jc w:val="right"/>
        </w:trPr>
        <w:tc>
          <w:tcPr>
            <w:tcW w:w="9342" w:type="dxa"/>
          </w:tcPr>
          <w:p w14:paraId="4EEA56C0" w14:textId="77777777" w:rsidR="003B4276" w:rsidRPr="00656F48" w:rsidRDefault="007402D2" w:rsidP="007E64A2">
            <w:pPr>
              <w:pStyle w:val="BodyText"/>
              <w:spacing w:after="0" w:line="240" w:lineRule="auto"/>
              <w:ind w:left="174"/>
              <w:jc w:val="left"/>
            </w:pPr>
            <w:r w:rsidRPr="00656F48">
              <w:t>Lugupidamisega</w:t>
            </w:r>
          </w:p>
          <w:p w14:paraId="0F0EE922" w14:textId="77777777" w:rsidR="005C7525" w:rsidRPr="00656F48" w:rsidRDefault="005C7525" w:rsidP="007E64A2">
            <w:pPr>
              <w:pStyle w:val="BodyText"/>
              <w:spacing w:after="0" w:line="240" w:lineRule="auto"/>
              <w:ind w:left="174"/>
              <w:jc w:val="left"/>
            </w:pPr>
          </w:p>
        </w:tc>
      </w:tr>
      <w:tr w:rsidR="003B4276" w:rsidRPr="00656F48" w14:paraId="09C086CE" w14:textId="77777777" w:rsidTr="000653E6">
        <w:trPr>
          <w:cantSplit/>
          <w:trHeight w:val="735"/>
          <w:jc w:val="right"/>
        </w:trPr>
        <w:tc>
          <w:tcPr>
            <w:tcW w:w="9342" w:type="dxa"/>
          </w:tcPr>
          <w:p w14:paraId="3F1DB698" w14:textId="77777777" w:rsidR="003B4276" w:rsidRPr="00656F48" w:rsidRDefault="00D0735B" w:rsidP="007E64A2">
            <w:pPr>
              <w:pStyle w:val="BodyText"/>
              <w:spacing w:before="60" w:after="60" w:line="240" w:lineRule="auto"/>
              <w:ind w:left="174"/>
              <w:jc w:val="left"/>
              <w:rPr>
                <w:i/>
                <w:iCs/>
                <w:color w:val="808080"/>
              </w:rPr>
            </w:pPr>
            <w:r w:rsidRPr="00656F48">
              <w:rPr>
                <w:i/>
                <w:iCs/>
                <w:color w:val="808080"/>
              </w:rPr>
              <w:t>(allkirjastatud digitaalselt)</w:t>
            </w:r>
          </w:p>
          <w:p w14:paraId="71F2C6C6" w14:textId="77777777" w:rsidR="008669EA" w:rsidRPr="00656F48" w:rsidRDefault="008669EA" w:rsidP="0011260E">
            <w:pPr>
              <w:pStyle w:val="BodyText"/>
              <w:spacing w:before="60" w:after="60" w:line="240" w:lineRule="auto"/>
              <w:jc w:val="left"/>
              <w:rPr>
                <w:color w:val="808080"/>
              </w:rPr>
            </w:pPr>
          </w:p>
        </w:tc>
      </w:tr>
      <w:tr w:rsidR="003B4276" w:rsidRPr="00656F48" w14:paraId="3642D3A6" w14:textId="77777777" w:rsidTr="000653E6">
        <w:trPr>
          <w:cantSplit/>
          <w:trHeight w:val="276"/>
          <w:jc w:val="right"/>
        </w:trPr>
        <w:tc>
          <w:tcPr>
            <w:tcW w:w="9342" w:type="dxa"/>
          </w:tcPr>
          <w:p w14:paraId="3A003D77" w14:textId="4FDE4C32" w:rsidR="003B4276" w:rsidRPr="00656F48" w:rsidRDefault="0020522E" w:rsidP="007E64A2">
            <w:pPr>
              <w:pStyle w:val="BodyText"/>
              <w:spacing w:after="0" w:line="240" w:lineRule="auto"/>
              <w:ind w:left="174"/>
              <w:jc w:val="left"/>
            </w:pPr>
            <w:fldSimple w:instr=" delta_signerName  \* MERGEFORMAT">
              <w:r>
                <w:t>Mait Vaiksaar</w:t>
              </w:r>
            </w:fldSimple>
          </w:p>
        </w:tc>
      </w:tr>
      <w:tr w:rsidR="00D0735B" w:rsidRPr="00656F48" w14:paraId="060450B4" w14:textId="77777777" w:rsidTr="000653E6">
        <w:trPr>
          <w:cantSplit/>
          <w:trHeight w:val="276"/>
          <w:jc w:val="right"/>
        </w:trPr>
        <w:tc>
          <w:tcPr>
            <w:tcW w:w="9342" w:type="dxa"/>
          </w:tcPr>
          <w:p w14:paraId="3CBE63D7" w14:textId="7C71AFB0" w:rsidR="00D0735B" w:rsidRDefault="0020522E" w:rsidP="007E64A2">
            <w:pPr>
              <w:pStyle w:val="BodyText"/>
              <w:spacing w:after="0" w:line="240" w:lineRule="auto"/>
              <w:ind w:left="316" w:hanging="174"/>
              <w:jc w:val="left"/>
            </w:pPr>
            <w:fldSimple w:instr=" delta_signerJobTitle  \* MERGEFORMAT">
              <w:r>
                <w:t>peadirektori asetäitja baasteenuste valdkonnas</w:t>
              </w:r>
            </w:fldSimple>
            <w:r w:rsidR="00CC48EC" w:rsidRPr="00656F48">
              <w:t xml:space="preserve"> </w:t>
            </w:r>
          </w:p>
          <w:p w14:paraId="74BF988F" w14:textId="07D999F1" w:rsidR="006067FC" w:rsidRPr="00656F48" w:rsidRDefault="006067FC" w:rsidP="007E64A2">
            <w:pPr>
              <w:pStyle w:val="BodyText"/>
              <w:spacing w:after="0" w:line="240" w:lineRule="auto"/>
              <w:ind w:left="316" w:hanging="174"/>
              <w:jc w:val="left"/>
            </w:pPr>
            <w:r>
              <w:t>peadirektori ülesannetes</w:t>
            </w:r>
          </w:p>
          <w:p w14:paraId="6F091574" w14:textId="77777777" w:rsidR="000653E6" w:rsidRPr="00656F48" w:rsidRDefault="000653E6" w:rsidP="0011260E">
            <w:pPr>
              <w:pStyle w:val="BodyText"/>
              <w:spacing w:after="0" w:line="240" w:lineRule="auto"/>
              <w:jc w:val="left"/>
            </w:pPr>
          </w:p>
          <w:p w14:paraId="4A8907FD" w14:textId="77777777" w:rsidR="00E63F9E" w:rsidRPr="00656F48" w:rsidRDefault="00E63F9E" w:rsidP="0011260E">
            <w:pPr>
              <w:pStyle w:val="BodyText"/>
              <w:spacing w:after="0" w:line="240" w:lineRule="auto"/>
              <w:jc w:val="left"/>
            </w:pPr>
          </w:p>
        </w:tc>
      </w:tr>
    </w:tbl>
    <w:p w14:paraId="4268BC32" w14:textId="77777777" w:rsidR="00060108" w:rsidRPr="00656F48" w:rsidRDefault="00060108">
      <w:pPr>
        <w:pStyle w:val="BodyText"/>
        <w:spacing w:after="0" w:line="240" w:lineRule="auto"/>
        <w:jc w:val="left"/>
      </w:pPr>
    </w:p>
    <w:p w14:paraId="47088FEC" w14:textId="080D4B3C" w:rsidR="004D1EAE" w:rsidRPr="00656F48" w:rsidRDefault="00060108" w:rsidP="004D1EAE">
      <w:pPr>
        <w:pStyle w:val="BodyText"/>
        <w:tabs>
          <w:tab w:val="left" w:pos="1800"/>
        </w:tabs>
        <w:spacing w:after="0" w:line="240" w:lineRule="auto"/>
        <w:jc w:val="left"/>
      </w:pPr>
      <w:r w:rsidRPr="00656F48">
        <w:t>Lisa: Loet</w:t>
      </w:r>
      <w:r w:rsidR="00B42D28">
        <w:t>letud punktis 2.</w:t>
      </w:r>
    </w:p>
    <w:p w14:paraId="2E862EB2" w14:textId="77777777" w:rsidR="008A3246" w:rsidRDefault="008A3246" w:rsidP="004D1EAE">
      <w:pPr>
        <w:pStyle w:val="BodyText"/>
        <w:tabs>
          <w:tab w:val="left" w:pos="1800"/>
        </w:tabs>
        <w:spacing w:after="0" w:line="240" w:lineRule="auto"/>
        <w:jc w:val="left"/>
      </w:pPr>
    </w:p>
    <w:p w14:paraId="6CBA33F5" w14:textId="77777777" w:rsidR="008A3246" w:rsidRDefault="008A3246" w:rsidP="004D1EAE">
      <w:pPr>
        <w:pStyle w:val="BodyText"/>
        <w:tabs>
          <w:tab w:val="left" w:pos="1800"/>
        </w:tabs>
        <w:spacing w:after="0" w:line="240" w:lineRule="auto"/>
        <w:jc w:val="left"/>
      </w:pPr>
    </w:p>
    <w:p w14:paraId="3E684147" w14:textId="77777777" w:rsidR="008A3246" w:rsidRDefault="008A3246" w:rsidP="004D1EAE">
      <w:pPr>
        <w:pStyle w:val="BodyText"/>
        <w:tabs>
          <w:tab w:val="left" w:pos="1800"/>
        </w:tabs>
        <w:spacing w:after="0" w:line="240" w:lineRule="auto"/>
        <w:jc w:val="left"/>
      </w:pPr>
    </w:p>
    <w:p w14:paraId="409D23A0" w14:textId="77777777" w:rsidR="008A3246" w:rsidRDefault="008A3246" w:rsidP="004D1EAE">
      <w:pPr>
        <w:pStyle w:val="BodyText"/>
        <w:tabs>
          <w:tab w:val="left" w:pos="1800"/>
        </w:tabs>
        <w:spacing w:after="0" w:line="240" w:lineRule="auto"/>
        <w:jc w:val="left"/>
      </w:pPr>
    </w:p>
    <w:p w14:paraId="676C7B01" w14:textId="77777777" w:rsidR="008A3246" w:rsidRDefault="008A3246" w:rsidP="004D1EAE">
      <w:pPr>
        <w:pStyle w:val="BodyText"/>
        <w:tabs>
          <w:tab w:val="left" w:pos="1800"/>
        </w:tabs>
        <w:spacing w:after="0" w:line="240" w:lineRule="auto"/>
        <w:jc w:val="left"/>
      </w:pPr>
    </w:p>
    <w:p w14:paraId="47B7B2F3" w14:textId="77777777" w:rsidR="008A3246" w:rsidRDefault="008A3246" w:rsidP="004D1EAE">
      <w:pPr>
        <w:pStyle w:val="BodyText"/>
        <w:tabs>
          <w:tab w:val="left" w:pos="1800"/>
        </w:tabs>
        <w:spacing w:after="0" w:line="240" w:lineRule="auto"/>
        <w:jc w:val="left"/>
      </w:pPr>
    </w:p>
    <w:p w14:paraId="6D58E918" w14:textId="4984460B" w:rsidR="004D1EAE" w:rsidRPr="00B42D28" w:rsidRDefault="009C0067" w:rsidP="004D1EAE">
      <w:pPr>
        <w:pStyle w:val="BodyText"/>
        <w:tabs>
          <w:tab w:val="left" w:pos="1800"/>
        </w:tabs>
        <w:spacing w:after="0" w:line="240" w:lineRule="auto"/>
        <w:jc w:val="left"/>
        <w:rPr>
          <w:sz w:val="20"/>
        </w:rPr>
      </w:pPr>
      <w:r w:rsidRPr="00B42D28">
        <w:rPr>
          <w:sz w:val="20"/>
        </w:rPr>
        <w:fldChar w:fldCharType="begin"/>
      </w:r>
      <w:r w:rsidR="0020522E">
        <w:rPr>
          <w:sz w:val="20"/>
        </w:rPr>
        <w:instrText xml:space="preserve"> delta_ownerName  \* MERGEFORMAT</w:instrText>
      </w:r>
      <w:r w:rsidRPr="00B42D28">
        <w:rPr>
          <w:sz w:val="20"/>
        </w:rPr>
        <w:fldChar w:fldCharType="separate"/>
      </w:r>
      <w:r w:rsidR="0020522E">
        <w:rPr>
          <w:sz w:val="20"/>
        </w:rPr>
        <w:t>Lagle Sokmann</w:t>
      </w:r>
      <w:r w:rsidRPr="00B42D28">
        <w:rPr>
          <w:sz w:val="20"/>
        </w:rPr>
        <w:fldChar w:fldCharType="end"/>
      </w:r>
      <w:r w:rsidR="005C7525" w:rsidRPr="00B42D28">
        <w:rPr>
          <w:sz w:val="20"/>
        </w:rPr>
        <w:t xml:space="preserve">, </w:t>
      </w:r>
      <w:r w:rsidRPr="00B42D28">
        <w:rPr>
          <w:sz w:val="20"/>
        </w:rPr>
        <w:fldChar w:fldCharType="begin"/>
      </w:r>
      <w:r w:rsidR="0020522E">
        <w:rPr>
          <w:sz w:val="20"/>
        </w:rPr>
        <w:instrText xml:space="preserve"> delta_ownerEmail  \* MERGEFORMAT</w:instrText>
      </w:r>
      <w:r w:rsidRPr="00B42D28">
        <w:rPr>
          <w:sz w:val="20"/>
        </w:rPr>
        <w:fldChar w:fldCharType="separate"/>
      </w:r>
      <w:r w:rsidR="0020522E">
        <w:rPr>
          <w:sz w:val="20"/>
        </w:rPr>
        <w:t>lagle.sokmann@smit.ee</w:t>
      </w:r>
      <w:r w:rsidRPr="00B42D28">
        <w:rPr>
          <w:sz w:val="20"/>
        </w:rPr>
        <w:fldChar w:fldCharType="end"/>
      </w:r>
    </w:p>
    <w:p w14:paraId="06F32F3D" w14:textId="77777777" w:rsidR="004D1EAE" w:rsidRDefault="004D1EAE">
      <w:pPr>
        <w:pStyle w:val="BodyText"/>
        <w:tabs>
          <w:tab w:val="left" w:pos="1800"/>
        </w:tabs>
        <w:spacing w:after="0" w:line="240" w:lineRule="auto"/>
        <w:jc w:val="left"/>
      </w:pPr>
    </w:p>
    <w:sectPr w:rsidR="004D1EAE" w:rsidSect="0011260E">
      <w:headerReference w:type="default" r:id="rId16"/>
      <w:type w:val="continuous"/>
      <w:pgSz w:w="11906" w:h="16838" w:code="9"/>
      <w:pgMar w:top="1417" w:right="1417" w:bottom="1417" w:left="1417" w:header="454"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6AD32" w14:textId="77777777" w:rsidR="007E4EEA" w:rsidRDefault="007E4EEA">
      <w:r>
        <w:separator/>
      </w:r>
    </w:p>
  </w:endnote>
  <w:endnote w:type="continuationSeparator" w:id="0">
    <w:p w14:paraId="1AB45229" w14:textId="77777777" w:rsidR="007E4EEA" w:rsidRDefault="007E4EEA">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44046" w14:textId="77777777" w:rsidR="005A223E" w:rsidRDefault="00C4390F">
    <w:pPr>
      <w:pStyle w:val="Footer"/>
      <w:framePr w:wrap="around" w:vAnchor="text" w:hAnchor="margin" w:xAlign="center" w:y="1"/>
      <w:rPr>
        <w:rStyle w:val="PageNumber"/>
      </w:rPr>
    </w:pPr>
    <w:r>
      <w:rPr>
        <w:rStyle w:val="PageNumber"/>
      </w:rPr>
      <w:fldChar w:fldCharType="begin"/>
    </w:r>
    <w:r w:rsidR="005A223E">
      <w:rPr>
        <w:rStyle w:val="PageNumber"/>
      </w:rPr>
      <w:instrText xml:space="preserve">PAGE  </w:instrText>
    </w:r>
    <w:r>
      <w:rPr>
        <w:rStyle w:val="PageNumber"/>
      </w:rPr>
      <w:fldChar w:fldCharType="end"/>
    </w:r>
  </w:p>
  <w:p w14:paraId="21026E49" w14:textId="77777777" w:rsidR="005A223E" w:rsidRDefault="005A2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20F3E" w14:textId="77777777" w:rsidR="00AE1F88" w:rsidRDefault="00AE1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18"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2268"/>
      <w:gridCol w:w="2268"/>
    </w:tblGrid>
    <w:tr w:rsidR="00B63F9D" w:rsidRPr="00107296" w14:paraId="44E24A92" w14:textId="77777777" w:rsidTr="005860F7">
      <w:trPr>
        <w:trHeight w:val="87"/>
      </w:trPr>
      <w:tc>
        <w:tcPr>
          <w:tcW w:w="5382" w:type="dxa"/>
        </w:tcPr>
        <w:p w14:paraId="14B870C0" w14:textId="77777777" w:rsidR="00B63F9D" w:rsidRPr="00107296" w:rsidRDefault="00B63F9D" w:rsidP="00AE1F88">
          <w:pPr>
            <w:autoSpaceDE w:val="0"/>
            <w:autoSpaceDN w:val="0"/>
            <w:adjustRightInd w:val="0"/>
            <w:ind w:left="718"/>
            <w:rPr>
              <w:rFonts w:ascii="Times New Roman" w:hAnsi="Times New Roman" w:cs="Times New Roman"/>
              <w:color w:val="009CDE"/>
              <w:sz w:val="20"/>
              <w:szCs w:val="24"/>
            </w:rPr>
          </w:pPr>
          <w:r w:rsidRPr="00107296">
            <w:rPr>
              <w:rFonts w:ascii="Times New Roman" w:hAnsi="Times New Roman" w:cs="Times New Roman"/>
              <w:color w:val="009CDE"/>
              <w:sz w:val="20"/>
              <w:szCs w:val="24"/>
            </w:rPr>
            <w:t>Siseministeeriumi infotehnoloogia- ja arenduskeskus</w:t>
          </w:r>
        </w:p>
        <w:p w14:paraId="02CA40E8" w14:textId="77777777" w:rsidR="00B63F9D" w:rsidRPr="00107296" w:rsidRDefault="002E7BEB" w:rsidP="00AE1F88">
          <w:pPr>
            <w:pStyle w:val="Footer"/>
            <w:ind w:left="718"/>
            <w:rPr>
              <w:rFonts w:ascii="Times New Roman" w:hAnsi="Times New Roman" w:cs="Times New Roman"/>
              <w:color w:val="009CDE"/>
              <w:sz w:val="20"/>
              <w:szCs w:val="24"/>
            </w:rPr>
          </w:pPr>
          <w:r>
            <w:rPr>
              <w:rFonts w:ascii="Times New Roman" w:hAnsi="Times New Roman" w:cs="Times New Roman"/>
              <w:color w:val="009CDE"/>
              <w:sz w:val="20"/>
              <w:szCs w:val="24"/>
            </w:rPr>
            <w:t>Mäealuse 2/2</w:t>
          </w:r>
          <w:r w:rsidR="00B63F9D" w:rsidRPr="00107296">
            <w:rPr>
              <w:rFonts w:ascii="Times New Roman" w:hAnsi="Times New Roman" w:cs="Times New Roman"/>
              <w:color w:val="009CDE"/>
              <w:sz w:val="20"/>
              <w:szCs w:val="24"/>
            </w:rPr>
            <w:t>, Tallinn 12618</w:t>
          </w:r>
        </w:p>
      </w:tc>
      <w:tc>
        <w:tcPr>
          <w:tcW w:w="2268" w:type="dxa"/>
        </w:tcPr>
        <w:p w14:paraId="2428BEE1" w14:textId="77777777" w:rsidR="00B63F9D" w:rsidRPr="00107296" w:rsidRDefault="00B63F9D" w:rsidP="00B63F9D">
          <w:pPr>
            <w:autoSpaceDE w:val="0"/>
            <w:autoSpaceDN w:val="0"/>
            <w:adjustRightInd w:val="0"/>
            <w:rPr>
              <w:rFonts w:ascii="Times New Roman" w:hAnsi="Times New Roman" w:cs="Times New Roman"/>
              <w:color w:val="009CDE"/>
              <w:sz w:val="20"/>
              <w:szCs w:val="24"/>
            </w:rPr>
          </w:pPr>
          <w:r w:rsidRPr="00107296">
            <w:rPr>
              <w:rFonts w:ascii="Times New Roman" w:hAnsi="Times New Roman" w:cs="Times New Roman"/>
              <w:color w:val="009CDE"/>
              <w:sz w:val="20"/>
              <w:szCs w:val="24"/>
            </w:rPr>
            <w:t>Telefon 612 6200</w:t>
          </w:r>
        </w:p>
        <w:p w14:paraId="4A2F72DD" w14:textId="77777777" w:rsidR="00B63F9D" w:rsidRPr="00107296" w:rsidRDefault="00B63F9D" w:rsidP="00B63F9D">
          <w:pPr>
            <w:pStyle w:val="Footer"/>
            <w:rPr>
              <w:rFonts w:ascii="Times New Roman" w:hAnsi="Times New Roman" w:cs="Times New Roman"/>
              <w:color w:val="009CDE"/>
              <w:sz w:val="20"/>
              <w:szCs w:val="24"/>
            </w:rPr>
          </w:pPr>
          <w:r w:rsidRPr="00107296">
            <w:rPr>
              <w:rFonts w:ascii="Times New Roman" w:hAnsi="Times New Roman" w:cs="Times New Roman"/>
              <w:color w:val="009CDE"/>
              <w:sz w:val="20"/>
              <w:szCs w:val="24"/>
            </w:rPr>
            <w:t>E-post smit@smit.ee</w:t>
          </w:r>
        </w:p>
      </w:tc>
      <w:tc>
        <w:tcPr>
          <w:tcW w:w="2268" w:type="dxa"/>
        </w:tcPr>
        <w:p w14:paraId="195670D0" w14:textId="77777777" w:rsidR="00B63F9D" w:rsidRPr="00107296" w:rsidRDefault="00B63F9D" w:rsidP="00B63F9D">
          <w:pPr>
            <w:autoSpaceDE w:val="0"/>
            <w:autoSpaceDN w:val="0"/>
            <w:adjustRightInd w:val="0"/>
            <w:rPr>
              <w:rFonts w:ascii="Times New Roman" w:hAnsi="Times New Roman" w:cs="Times New Roman"/>
              <w:color w:val="009CDE"/>
              <w:sz w:val="20"/>
              <w:szCs w:val="24"/>
            </w:rPr>
          </w:pPr>
          <w:r w:rsidRPr="00107296">
            <w:rPr>
              <w:rFonts w:ascii="Times New Roman" w:hAnsi="Times New Roman" w:cs="Times New Roman"/>
              <w:color w:val="009CDE"/>
              <w:sz w:val="20"/>
              <w:szCs w:val="24"/>
            </w:rPr>
            <w:t>Reg. kood 70008440</w:t>
          </w:r>
        </w:p>
        <w:p w14:paraId="24329DF3" w14:textId="77777777" w:rsidR="00B63F9D" w:rsidRPr="00107296" w:rsidRDefault="00B63F9D" w:rsidP="00B63F9D">
          <w:pPr>
            <w:pStyle w:val="Footer"/>
            <w:rPr>
              <w:rFonts w:ascii="Times New Roman" w:hAnsi="Times New Roman" w:cs="Times New Roman"/>
              <w:color w:val="009CDE"/>
              <w:sz w:val="20"/>
              <w:szCs w:val="24"/>
            </w:rPr>
          </w:pPr>
          <w:r w:rsidRPr="00107296">
            <w:rPr>
              <w:rFonts w:ascii="Times New Roman" w:hAnsi="Times New Roman" w:cs="Times New Roman"/>
              <w:color w:val="009CDE"/>
              <w:sz w:val="20"/>
              <w:szCs w:val="24"/>
            </w:rPr>
            <w:t>www.smit.ee</w:t>
          </w:r>
        </w:p>
      </w:tc>
    </w:tr>
  </w:tbl>
  <w:p w14:paraId="38538DF8" w14:textId="77777777" w:rsidR="0011260E" w:rsidRPr="0011260E" w:rsidRDefault="0011260E">
    <w:pPr>
      <w:pStyle w:val="Footer"/>
      <w:rPr>
        <w:sz w:val="20"/>
      </w:rPr>
    </w:pPr>
    <w:r>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C03F7" w14:textId="77777777" w:rsidR="007E4EEA" w:rsidRDefault="007E4EEA">
      <w:r>
        <w:separator/>
      </w:r>
    </w:p>
  </w:footnote>
  <w:footnote w:type="continuationSeparator" w:id="0">
    <w:p w14:paraId="23BBAFDC" w14:textId="77777777" w:rsidR="007E4EEA" w:rsidRDefault="007E4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861E1" w14:textId="77777777" w:rsidR="005A223E" w:rsidRDefault="00C4390F">
    <w:pPr>
      <w:pStyle w:val="Header"/>
      <w:framePr w:wrap="around" w:vAnchor="text" w:hAnchor="margin" w:xAlign="center" w:y="1"/>
      <w:rPr>
        <w:rStyle w:val="PageNumber"/>
      </w:rPr>
    </w:pPr>
    <w:r>
      <w:rPr>
        <w:rStyle w:val="PageNumber"/>
      </w:rPr>
      <w:fldChar w:fldCharType="begin"/>
    </w:r>
    <w:r w:rsidR="005A223E">
      <w:rPr>
        <w:rStyle w:val="PageNumber"/>
      </w:rPr>
      <w:instrText xml:space="preserve">PAGE  </w:instrText>
    </w:r>
    <w:r>
      <w:rPr>
        <w:rStyle w:val="PageNumber"/>
      </w:rPr>
      <w:fldChar w:fldCharType="end"/>
    </w:r>
  </w:p>
  <w:p w14:paraId="465FE91A" w14:textId="77777777" w:rsidR="005A223E" w:rsidRDefault="005A2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E503E" w14:textId="77777777" w:rsidR="005A223E" w:rsidRDefault="00C4390F">
    <w:pPr>
      <w:pStyle w:val="Header"/>
      <w:framePr w:wrap="around" w:vAnchor="text" w:hAnchor="margin" w:xAlign="center" w:y="1"/>
      <w:rPr>
        <w:rStyle w:val="PageNumber"/>
      </w:rPr>
    </w:pPr>
    <w:r>
      <w:rPr>
        <w:rStyle w:val="PageNumber"/>
      </w:rPr>
      <w:fldChar w:fldCharType="begin"/>
    </w:r>
    <w:r w:rsidR="005A223E">
      <w:rPr>
        <w:rStyle w:val="PageNumber"/>
      </w:rPr>
      <w:instrText xml:space="preserve">PAGE  </w:instrText>
    </w:r>
    <w:r>
      <w:rPr>
        <w:rStyle w:val="PageNumber"/>
      </w:rPr>
      <w:fldChar w:fldCharType="separate"/>
    </w:r>
    <w:r w:rsidR="005A223E">
      <w:rPr>
        <w:rStyle w:val="PageNumber"/>
        <w:noProof/>
      </w:rPr>
      <w:t>2</w:t>
    </w:r>
    <w:r>
      <w:rPr>
        <w:rStyle w:val="PageNumber"/>
      </w:rPr>
      <w:fldChar w:fldCharType="end"/>
    </w:r>
    <w:r w:rsidR="005A223E">
      <w:rPr>
        <w:rStyle w:val="PageNumber"/>
      </w:rPr>
      <w:t>(</w:t>
    </w:r>
    <w:r>
      <w:rPr>
        <w:rStyle w:val="PageNumber"/>
      </w:rPr>
      <w:fldChar w:fldCharType="begin"/>
    </w:r>
    <w:r w:rsidR="005A223E">
      <w:rPr>
        <w:rStyle w:val="PageNumber"/>
      </w:rPr>
      <w:instrText xml:space="preserve"> NUMPAGES </w:instrText>
    </w:r>
    <w:r>
      <w:rPr>
        <w:rStyle w:val="PageNumber"/>
      </w:rPr>
      <w:fldChar w:fldCharType="separate"/>
    </w:r>
    <w:r w:rsidR="008E4339">
      <w:rPr>
        <w:rStyle w:val="PageNumber"/>
        <w:noProof/>
      </w:rPr>
      <w:t>1</w:t>
    </w:r>
    <w:r>
      <w:rPr>
        <w:rStyle w:val="PageNumber"/>
      </w:rPr>
      <w:fldChar w:fldCharType="end"/>
    </w:r>
    <w:r w:rsidR="005A223E">
      <w:rPr>
        <w:rStyle w:val="PageNumber"/>
      </w:rPr>
      <w:t>)</w:t>
    </w:r>
  </w:p>
  <w:p w14:paraId="41393629" w14:textId="77777777" w:rsidR="005A223E" w:rsidRDefault="005A223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78CF0" w14:textId="77777777" w:rsidR="00AE1F88" w:rsidRDefault="00AE1F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F864C" w14:textId="458A4A5E" w:rsidR="005A223E" w:rsidRDefault="00C4390F">
    <w:pPr>
      <w:pStyle w:val="Header"/>
      <w:framePr w:wrap="notBeside" w:vAnchor="text" w:hAnchor="margin" w:xAlign="center" w:y="1"/>
      <w:rPr>
        <w:rStyle w:val="PageNumber"/>
      </w:rPr>
    </w:pPr>
    <w:r>
      <w:rPr>
        <w:rStyle w:val="PageNumber"/>
      </w:rPr>
      <w:fldChar w:fldCharType="begin"/>
    </w:r>
    <w:r w:rsidR="005A223E">
      <w:rPr>
        <w:rStyle w:val="PageNumber"/>
      </w:rPr>
      <w:instrText xml:space="preserve">PAGE  </w:instrText>
    </w:r>
    <w:r>
      <w:rPr>
        <w:rStyle w:val="PageNumber"/>
      </w:rPr>
      <w:fldChar w:fldCharType="separate"/>
    </w:r>
    <w:r w:rsidR="0020522E">
      <w:rPr>
        <w:rStyle w:val="PageNumber"/>
        <w:noProof/>
      </w:rPr>
      <w:t>4</w:t>
    </w:r>
    <w:r>
      <w:rPr>
        <w:rStyle w:val="PageNumber"/>
      </w:rPr>
      <w:fldChar w:fldCharType="end"/>
    </w:r>
    <w:r w:rsidR="005A223E">
      <w:rPr>
        <w:rStyle w:val="PageNumber"/>
      </w:rPr>
      <w:t>(</w:t>
    </w:r>
    <w:r>
      <w:rPr>
        <w:rStyle w:val="PageNumber"/>
      </w:rPr>
      <w:fldChar w:fldCharType="begin"/>
    </w:r>
    <w:r w:rsidR="005A223E">
      <w:rPr>
        <w:rStyle w:val="PageNumber"/>
      </w:rPr>
      <w:instrText xml:space="preserve"> NUMPAGES </w:instrText>
    </w:r>
    <w:r>
      <w:rPr>
        <w:rStyle w:val="PageNumber"/>
      </w:rPr>
      <w:fldChar w:fldCharType="separate"/>
    </w:r>
    <w:r w:rsidR="0020522E">
      <w:rPr>
        <w:rStyle w:val="PageNumber"/>
        <w:noProof/>
      </w:rPr>
      <w:t>4</w:t>
    </w:r>
    <w:r>
      <w:rPr>
        <w:rStyle w:val="PageNumber"/>
      </w:rPr>
      <w:fldChar w:fldCharType="end"/>
    </w:r>
    <w:r w:rsidR="005A223E">
      <w:rPr>
        <w:rStyle w:val="PageNumber"/>
      </w:rPr>
      <w:t>)</w:t>
    </w:r>
  </w:p>
  <w:p w14:paraId="0B7FBBCC" w14:textId="77777777" w:rsidR="005A223E" w:rsidRDefault="005A22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3636D"/>
    <w:multiLevelType w:val="multilevel"/>
    <w:tmpl w:val="5416593C"/>
    <w:lvl w:ilvl="0">
      <w:start w:val="1"/>
      <w:numFmt w:val="decimal"/>
      <w:lvlText w:val="%1."/>
      <w:lvlJc w:val="left"/>
      <w:pPr>
        <w:ind w:left="720" w:hanging="360"/>
      </w:pPr>
      <w:rPr>
        <w:rFonts w:hint="default"/>
      </w:rPr>
    </w:lvl>
    <w:lvl w:ilvl="1">
      <w:start w:val="1"/>
      <w:numFmt w:val="decimal"/>
      <w:isLgl/>
      <w:lvlText w:val="%1.%2."/>
      <w:lvlJc w:val="left"/>
      <w:pPr>
        <w:ind w:left="2912"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A966A6"/>
    <w:multiLevelType w:val="multilevel"/>
    <w:tmpl w:val="8880192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color w:val="auto"/>
      </w:rPr>
    </w:lvl>
    <w:lvl w:ilvl="2">
      <w:start w:val="1"/>
      <w:numFmt w:val="decimal"/>
      <w:lvlText w:val="%1.%2.%3."/>
      <w:lvlJc w:val="left"/>
      <w:pPr>
        <w:ind w:left="788"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7D2627E"/>
    <w:multiLevelType w:val="multilevel"/>
    <w:tmpl w:val="83E8FD52"/>
    <w:lvl w:ilvl="0">
      <w:start w:val="1"/>
      <w:numFmt w:val="decimal"/>
      <w:pStyle w:val="Loetelu"/>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5"/>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2529"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DF8"/>
    <w:rsid w:val="000044BA"/>
    <w:rsid w:val="00025B23"/>
    <w:rsid w:val="00030432"/>
    <w:rsid w:val="00045774"/>
    <w:rsid w:val="00060108"/>
    <w:rsid w:val="000615CE"/>
    <w:rsid w:val="00063DAE"/>
    <w:rsid w:val="00064E8C"/>
    <w:rsid w:val="000653E6"/>
    <w:rsid w:val="00066762"/>
    <w:rsid w:val="000676C0"/>
    <w:rsid w:val="0007273C"/>
    <w:rsid w:val="00073180"/>
    <w:rsid w:val="00080A46"/>
    <w:rsid w:val="00091900"/>
    <w:rsid w:val="000B48DB"/>
    <w:rsid w:val="000B5E01"/>
    <w:rsid w:val="000B5E2D"/>
    <w:rsid w:val="000D008B"/>
    <w:rsid w:val="000D2A12"/>
    <w:rsid w:val="000D5FCD"/>
    <w:rsid w:val="0011260E"/>
    <w:rsid w:val="00123487"/>
    <w:rsid w:val="00127FE3"/>
    <w:rsid w:val="00152E9D"/>
    <w:rsid w:val="00153B9E"/>
    <w:rsid w:val="00175B9F"/>
    <w:rsid w:val="00176362"/>
    <w:rsid w:val="00176881"/>
    <w:rsid w:val="001A1A1D"/>
    <w:rsid w:val="001B3A06"/>
    <w:rsid w:val="001C0536"/>
    <w:rsid w:val="001C3006"/>
    <w:rsid w:val="001D0499"/>
    <w:rsid w:val="001D6C8A"/>
    <w:rsid w:val="001E436F"/>
    <w:rsid w:val="001F230F"/>
    <w:rsid w:val="0020522E"/>
    <w:rsid w:val="002336FE"/>
    <w:rsid w:val="0027738A"/>
    <w:rsid w:val="002819ED"/>
    <w:rsid w:val="002955D4"/>
    <w:rsid w:val="002B64E8"/>
    <w:rsid w:val="002C06A4"/>
    <w:rsid w:val="002E7BEB"/>
    <w:rsid w:val="00305DE1"/>
    <w:rsid w:val="00307A59"/>
    <w:rsid w:val="00310A2B"/>
    <w:rsid w:val="00313146"/>
    <w:rsid w:val="0032377C"/>
    <w:rsid w:val="00323C2B"/>
    <w:rsid w:val="00324077"/>
    <w:rsid w:val="003522CD"/>
    <w:rsid w:val="00353BD2"/>
    <w:rsid w:val="00364627"/>
    <w:rsid w:val="003779EF"/>
    <w:rsid w:val="0038251B"/>
    <w:rsid w:val="0039759B"/>
    <w:rsid w:val="003A6DF8"/>
    <w:rsid w:val="003B4276"/>
    <w:rsid w:val="003D553E"/>
    <w:rsid w:val="003D6C48"/>
    <w:rsid w:val="003E4624"/>
    <w:rsid w:val="003E54F4"/>
    <w:rsid w:val="0040407C"/>
    <w:rsid w:val="004100DB"/>
    <w:rsid w:val="00415A3B"/>
    <w:rsid w:val="00424D5E"/>
    <w:rsid w:val="004375C0"/>
    <w:rsid w:val="00443716"/>
    <w:rsid w:val="00487B95"/>
    <w:rsid w:val="00490037"/>
    <w:rsid w:val="004C053E"/>
    <w:rsid w:val="004C34CB"/>
    <w:rsid w:val="004C42A5"/>
    <w:rsid w:val="004D1EAE"/>
    <w:rsid w:val="004D57FC"/>
    <w:rsid w:val="004E1EAB"/>
    <w:rsid w:val="004E3E49"/>
    <w:rsid w:val="004F0CE9"/>
    <w:rsid w:val="004F76CC"/>
    <w:rsid w:val="004F7D1B"/>
    <w:rsid w:val="00507802"/>
    <w:rsid w:val="00570B8B"/>
    <w:rsid w:val="005776F1"/>
    <w:rsid w:val="005A223E"/>
    <w:rsid w:val="005A7925"/>
    <w:rsid w:val="005B52F9"/>
    <w:rsid w:val="005C7525"/>
    <w:rsid w:val="005F245C"/>
    <w:rsid w:val="005F4A9B"/>
    <w:rsid w:val="0060454D"/>
    <w:rsid w:val="006067FC"/>
    <w:rsid w:val="0061789C"/>
    <w:rsid w:val="0063215E"/>
    <w:rsid w:val="006400A3"/>
    <w:rsid w:val="00656F48"/>
    <w:rsid w:val="00660940"/>
    <w:rsid w:val="00674570"/>
    <w:rsid w:val="00677DBA"/>
    <w:rsid w:val="00680610"/>
    <w:rsid w:val="006848B6"/>
    <w:rsid w:val="00691A61"/>
    <w:rsid w:val="006B14E5"/>
    <w:rsid w:val="006B521E"/>
    <w:rsid w:val="006C4130"/>
    <w:rsid w:val="006D1E3A"/>
    <w:rsid w:val="006E69E0"/>
    <w:rsid w:val="006F1A06"/>
    <w:rsid w:val="00722FAF"/>
    <w:rsid w:val="0073735D"/>
    <w:rsid w:val="007402D2"/>
    <w:rsid w:val="00743E43"/>
    <w:rsid w:val="00777A32"/>
    <w:rsid w:val="00792ECB"/>
    <w:rsid w:val="007A6C6F"/>
    <w:rsid w:val="007B7ACA"/>
    <w:rsid w:val="007D3445"/>
    <w:rsid w:val="007E4EEA"/>
    <w:rsid w:val="007E64A2"/>
    <w:rsid w:val="007E7FE6"/>
    <w:rsid w:val="007F68D7"/>
    <w:rsid w:val="00801BB5"/>
    <w:rsid w:val="00830CA2"/>
    <w:rsid w:val="00843B2E"/>
    <w:rsid w:val="00854DA9"/>
    <w:rsid w:val="00857748"/>
    <w:rsid w:val="00865017"/>
    <w:rsid w:val="008669EA"/>
    <w:rsid w:val="0087558C"/>
    <w:rsid w:val="008811F1"/>
    <w:rsid w:val="00895350"/>
    <w:rsid w:val="00896B07"/>
    <w:rsid w:val="008A02BC"/>
    <w:rsid w:val="008A3246"/>
    <w:rsid w:val="008A3B3F"/>
    <w:rsid w:val="008A3D1B"/>
    <w:rsid w:val="008A4C3C"/>
    <w:rsid w:val="008D720F"/>
    <w:rsid w:val="008E4339"/>
    <w:rsid w:val="00910004"/>
    <w:rsid w:val="00910DD1"/>
    <w:rsid w:val="00912D8A"/>
    <w:rsid w:val="009225A0"/>
    <w:rsid w:val="009322FD"/>
    <w:rsid w:val="0093578C"/>
    <w:rsid w:val="009459D9"/>
    <w:rsid w:val="00957CDD"/>
    <w:rsid w:val="00967FA8"/>
    <w:rsid w:val="00993C51"/>
    <w:rsid w:val="009A2CB8"/>
    <w:rsid w:val="009A2EEE"/>
    <w:rsid w:val="009A4E2A"/>
    <w:rsid w:val="009A7F3E"/>
    <w:rsid w:val="009B1845"/>
    <w:rsid w:val="009C0067"/>
    <w:rsid w:val="009C2D6A"/>
    <w:rsid w:val="009F20D3"/>
    <w:rsid w:val="009F3D79"/>
    <w:rsid w:val="00A23DA4"/>
    <w:rsid w:val="00A81588"/>
    <w:rsid w:val="00A83A2D"/>
    <w:rsid w:val="00A86AC7"/>
    <w:rsid w:val="00A91B31"/>
    <w:rsid w:val="00AA77DE"/>
    <w:rsid w:val="00AB1415"/>
    <w:rsid w:val="00AB6652"/>
    <w:rsid w:val="00AD00F5"/>
    <w:rsid w:val="00AD191E"/>
    <w:rsid w:val="00AD535F"/>
    <w:rsid w:val="00AE1D5F"/>
    <w:rsid w:val="00AE1F88"/>
    <w:rsid w:val="00B04373"/>
    <w:rsid w:val="00B115BD"/>
    <w:rsid w:val="00B24CA2"/>
    <w:rsid w:val="00B42D28"/>
    <w:rsid w:val="00B52B4A"/>
    <w:rsid w:val="00B618E6"/>
    <w:rsid w:val="00B6218E"/>
    <w:rsid w:val="00B63F9D"/>
    <w:rsid w:val="00B75B37"/>
    <w:rsid w:val="00B76DFE"/>
    <w:rsid w:val="00BA580E"/>
    <w:rsid w:val="00BC7FE6"/>
    <w:rsid w:val="00BD09A9"/>
    <w:rsid w:val="00BD1538"/>
    <w:rsid w:val="00C04B75"/>
    <w:rsid w:val="00C04DF7"/>
    <w:rsid w:val="00C132AE"/>
    <w:rsid w:val="00C15D3E"/>
    <w:rsid w:val="00C23514"/>
    <w:rsid w:val="00C3156F"/>
    <w:rsid w:val="00C4390F"/>
    <w:rsid w:val="00C74CE3"/>
    <w:rsid w:val="00C81A7F"/>
    <w:rsid w:val="00C83259"/>
    <w:rsid w:val="00CB044C"/>
    <w:rsid w:val="00CB2DFB"/>
    <w:rsid w:val="00CC48EC"/>
    <w:rsid w:val="00CC4F53"/>
    <w:rsid w:val="00CD49CB"/>
    <w:rsid w:val="00D02782"/>
    <w:rsid w:val="00D04D02"/>
    <w:rsid w:val="00D0735B"/>
    <w:rsid w:val="00D161FE"/>
    <w:rsid w:val="00D26B00"/>
    <w:rsid w:val="00D45C60"/>
    <w:rsid w:val="00D56DE7"/>
    <w:rsid w:val="00D57137"/>
    <w:rsid w:val="00D7453F"/>
    <w:rsid w:val="00D840B4"/>
    <w:rsid w:val="00DC5219"/>
    <w:rsid w:val="00DC739D"/>
    <w:rsid w:val="00DE25DF"/>
    <w:rsid w:val="00DE283C"/>
    <w:rsid w:val="00DE3160"/>
    <w:rsid w:val="00E13C5D"/>
    <w:rsid w:val="00E27EA6"/>
    <w:rsid w:val="00E43B3F"/>
    <w:rsid w:val="00E46321"/>
    <w:rsid w:val="00E469CD"/>
    <w:rsid w:val="00E50DF9"/>
    <w:rsid w:val="00E56BB2"/>
    <w:rsid w:val="00E63F9E"/>
    <w:rsid w:val="00EA6948"/>
    <w:rsid w:val="00EC780F"/>
    <w:rsid w:val="00ED3814"/>
    <w:rsid w:val="00EF01FF"/>
    <w:rsid w:val="00EF7493"/>
    <w:rsid w:val="00F12CA5"/>
    <w:rsid w:val="00F43C64"/>
    <w:rsid w:val="00F5588A"/>
    <w:rsid w:val="00F56AEE"/>
    <w:rsid w:val="00F65093"/>
    <w:rsid w:val="00F91A65"/>
    <w:rsid w:val="00F953A8"/>
    <w:rsid w:val="00FA567E"/>
    <w:rsid w:val="00FB429E"/>
    <w:rsid w:val="00FB4F12"/>
    <w:rsid w:val="00FB513B"/>
    <w:rsid w:val="00FF39E2"/>
    <w:rsid w:val="00FF73D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v:textbox inset=",,0"/>
    </o:shapedefaults>
    <o:shapelayout v:ext="edit">
      <o:idmap v:ext="edit" data="1"/>
    </o:shapelayout>
  </w:shapeDefaults>
  <w:decimalSymbol w:val=","/>
  <w:listSeparator w:val=";"/>
  <w14:docId w14:val="79BFE82F"/>
  <w15:docId w15:val="{1CDEA55F-4112-4219-B578-9F4A8FD4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2CD"/>
    <w:pPr>
      <w:jc w:val="both"/>
    </w:pPr>
    <w:rPr>
      <w:sz w:val="24"/>
      <w:lang w:eastAsia="en-US"/>
    </w:rPr>
  </w:style>
  <w:style w:type="paragraph" w:styleId="Heading1">
    <w:name w:val="heading 1"/>
    <w:basedOn w:val="Normal"/>
    <w:next w:val="Normal"/>
    <w:qFormat/>
    <w:rsid w:val="003522CD"/>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522CD"/>
    <w:pPr>
      <w:keepNext/>
      <w:numPr>
        <w:ilvl w:val="1"/>
        <w:numId w:val="2"/>
      </w:numPr>
      <w:spacing w:before="240" w:after="60"/>
      <w:outlineLvl w:val="1"/>
    </w:pPr>
    <w:rPr>
      <w:rFonts w:ascii="Arial" w:hAnsi="Arial"/>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22CD"/>
    <w:pPr>
      <w:tabs>
        <w:tab w:val="center" w:pos="4153"/>
        <w:tab w:val="right" w:pos="8306"/>
      </w:tabs>
    </w:pPr>
  </w:style>
  <w:style w:type="paragraph" w:styleId="Footer">
    <w:name w:val="footer"/>
    <w:basedOn w:val="Normal"/>
    <w:link w:val="FooterChar"/>
    <w:uiPriority w:val="99"/>
    <w:rsid w:val="003522CD"/>
    <w:pPr>
      <w:tabs>
        <w:tab w:val="center" w:pos="4153"/>
        <w:tab w:val="right" w:pos="8306"/>
      </w:tabs>
    </w:pPr>
  </w:style>
  <w:style w:type="paragraph" w:styleId="BodyText">
    <w:name w:val="Body Text"/>
    <w:basedOn w:val="Normal"/>
    <w:rsid w:val="003522CD"/>
    <w:pPr>
      <w:spacing w:after="220" w:line="220" w:lineRule="atLeast"/>
    </w:pPr>
    <w:rPr>
      <w:spacing w:val="-5"/>
    </w:rPr>
  </w:style>
  <w:style w:type="character" w:styleId="PageNumber">
    <w:name w:val="page number"/>
    <w:basedOn w:val="DefaultParagraphFont"/>
    <w:rsid w:val="003522CD"/>
  </w:style>
  <w:style w:type="paragraph" w:customStyle="1" w:styleId="Loetelu">
    <w:name w:val="Loetelu"/>
    <w:basedOn w:val="BodyText"/>
    <w:rsid w:val="003522CD"/>
    <w:pPr>
      <w:numPr>
        <w:numId w:val="4"/>
      </w:numPr>
      <w:spacing w:before="120" w:after="0" w:line="240" w:lineRule="auto"/>
    </w:pPr>
    <w:rPr>
      <w:spacing w:val="0"/>
    </w:rPr>
  </w:style>
  <w:style w:type="paragraph" w:customStyle="1" w:styleId="kastitekst">
    <w:name w:val="kastitekst"/>
    <w:basedOn w:val="Normal"/>
    <w:rsid w:val="00DE283C"/>
    <w:pPr>
      <w:jc w:val="right"/>
    </w:pPr>
    <w:rPr>
      <w:sz w:val="22"/>
      <w:szCs w:val="22"/>
    </w:rPr>
  </w:style>
  <w:style w:type="character" w:styleId="Hyperlink">
    <w:name w:val="Hyperlink"/>
    <w:rsid w:val="003522CD"/>
    <w:rPr>
      <w:color w:val="0000FF"/>
      <w:u w:val="single"/>
    </w:rPr>
  </w:style>
  <w:style w:type="character" w:customStyle="1" w:styleId="FooterChar">
    <w:name w:val="Footer Char"/>
    <w:basedOn w:val="DefaultParagraphFont"/>
    <w:link w:val="Footer"/>
    <w:uiPriority w:val="99"/>
    <w:rsid w:val="00B63F9D"/>
    <w:rPr>
      <w:sz w:val="24"/>
      <w:lang w:eastAsia="en-US"/>
    </w:rPr>
  </w:style>
  <w:style w:type="table" w:styleId="TableGrid">
    <w:name w:val="Table Grid"/>
    <w:basedOn w:val="TableNormal"/>
    <w:uiPriority w:val="39"/>
    <w:rsid w:val="00B63F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ummuga loetelu,Table of contents numbered,Loendi l›ik"/>
    <w:basedOn w:val="Normal"/>
    <w:link w:val="ListParagraphChar"/>
    <w:uiPriority w:val="34"/>
    <w:qFormat/>
    <w:rsid w:val="00B42D28"/>
    <w:pPr>
      <w:ind w:left="708"/>
      <w:jc w:val="left"/>
    </w:pPr>
    <w:rPr>
      <w:rFonts w:ascii="Tahoma" w:hAnsi="Tahoma"/>
      <w:sz w:val="20"/>
      <w:szCs w:val="24"/>
    </w:rPr>
  </w:style>
  <w:style w:type="character" w:customStyle="1" w:styleId="ListParagraphChar">
    <w:name w:val="List Paragraph Char"/>
    <w:aliases w:val="Mummuga loetelu Char,Table of contents numbered Char,Loendi l›ik Char"/>
    <w:link w:val="ListParagraph"/>
    <w:uiPriority w:val="34"/>
    <w:locked/>
    <w:rsid w:val="00B42D28"/>
    <w:rPr>
      <w:rFonts w:ascii="Tahoma" w:hAnsi="Tahoma"/>
      <w:szCs w:val="24"/>
      <w:lang w:eastAsia="en-US"/>
    </w:rPr>
  </w:style>
  <w:style w:type="character" w:customStyle="1" w:styleId="meta-list-item-bold">
    <w:name w:val="meta-list-item-bold"/>
    <w:basedOn w:val="DefaultParagraphFont"/>
    <w:rsid w:val="00B42D28"/>
  </w:style>
  <w:style w:type="character" w:customStyle="1" w:styleId="cf01">
    <w:name w:val="cf01"/>
    <w:basedOn w:val="DefaultParagraphFont"/>
    <w:rsid w:val="00B42D2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59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riigihanked.riik.ee/"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hanked@smi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8030</Characters>
  <Application>Microsoft Office Word</Application>
  <DocSecurity>0</DocSecurity>
  <Lines>66</Lines>
  <Paragraphs>18</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algatuskiri</vt:lpstr>
      <vt:lpstr>algatuskiri</vt:lpstr>
    </vt:vector>
  </TitlesOfParts>
  <Company>Siseministeerium</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algatuskiri</dc:title>
  <dc:creator>Kairi Sule</dc:creator>
  <cp:lastModifiedBy>DELTA</cp:lastModifiedBy>
  <cp:revision>2</cp:revision>
  <cp:lastPrinted>2014-10-07T07:40:00Z</cp:lastPrinted>
  <dcterms:created xsi:type="dcterms:W3CDTF">2026-04-28T08:04:00Z</dcterms:created>
  <dcterms:modified xsi:type="dcterms:W3CDTF">2026-04-28T08:04:00Z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{JP kehtiv alates}</vt:lpwstr>
  </property>
  <property fmtid="{D5CDD505-2E9C-101B-9397-08002B2CF9AE}" pid="3" name="delta_accessRestrictionEndDate">
    <vt:lpwstr>{JP kehtiv kuni}</vt:lpwstr>
  </property>
  <property fmtid="{D5CDD505-2E9C-101B-9397-08002B2CF9AE}" pid="4" name="delta_accessRestrictionEndDesc">
    <vt:lpwstr>{JP kehtiv kuni kirjeldus}</vt:lpwstr>
  </property>
  <property fmtid="{D5CDD505-2E9C-101B-9397-08002B2CF9AE}" pid="5" name="delta_accessRestrictionReason">
    <vt:lpwstr>{JP alus}</vt:lpwstr>
  </property>
  <property fmtid="{D5CDD505-2E9C-101B-9397-08002B2CF9AE}" pid="6" name="delta_recipientName">
    <vt:lpwstr>{Adressaat}</vt:lpwstr>
  </property>
  <property fmtid="{D5CDD505-2E9C-101B-9397-08002B2CF9AE}" pid="7" name="delta_docName">
    <vt:lpwstr>{Pealkiri}</vt:lpwstr>
  </property>
  <property fmtid="{D5CDD505-2E9C-101B-9397-08002B2CF9AE}" pid="8" name="delta_regDateTime">
    <vt:lpwstr>{reg kpv}</vt:lpwstr>
  </property>
  <property fmtid="{D5CDD505-2E9C-101B-9397-08002B2CF9AE}" pid="9" name="delta_signerName">
    <vt:lpwstr>{Allkirjastaja nimi}</vt:lpwstr>
  </property>
  <property fmtid="{D5CDD505-2E9C-101B-9397-08002B2CF9AE}" pid="10" name="delta_signerJobTitle">
    <vt:lpwstr>{Allkirjastaja ametinimetus}</vt:lpwstr>
  </property>
  <property fmtid="{D5CDD505-2E9C-101B-9397-08002B2CF9AE}" pid="11" name="delta_additionalRecipientName">
    <vt:lpwstr>{Lisaadressaat}</vt:lpwstr>
  </property>
  <property fmtid="{D5CDD505-2E9C-101B-9397-08002B2CF9AE}" pid="12" name="delta_ownerName">
    <vt:lpwstr>{Koostaja nimi}</vt:lpwstr>
  </property>
  <property fmtid="{D5CDD505-2E9C-101B-9397-08002B2CF9AE}" pid="13" name="delta_ownerEmail">
    <vt:lpwstr>{Koostaja e-posti aadress}</vt:lpwstr>
  </property>
  <property fmtid="{D5CDD505-2E9C-101B-9397-08002B2CF9AE}" pid="14" name="delta_ownerPhone">
    <vt:lpwstr>{Koostaja telefon}</vt:lpwstr>
  </property>
  <property fmtid="{D5CDD505-2E9C-101B-9397-08002B2CF9AE}" pid="15" name="delta_senderRegNumber">
    <vt:lpwstr>{Saatja reg nr}</vt:lpwstr>
  </property>
  <property fmtid="{D5CDD505-2E9C-101B-9397-08002B2CF9AE}" pid="16" name="delta_senderRegDate">
    <vt:lpwstr>{Saatja reg kpv}</vt:lpwstr>
  </property>
  <property fmtid="{D5CDD505-2E9C-101B-9397-08002B2CF9AE}" pid="17" name="delta_regNumber">
    <vt:lpwstr>{viit}</vt:lpwstr>
  </property>
  <property fmtid="{D5CDD505-2E9C-101B-9397-08002B2CF9AE}" pid="18" name="delta_recipientName.1">
    <vt:lpwstr>{Adressaat}</vt:lpwstr>
  </property>
  <property fmtid="{D5CDD505-2E9C-101B-9397-08002B2CF9AE}" pid="19" name="delta_additionalRecipientName.1">
    <vt:lpwstr>lisa saaja_1</vt:lpwstr>
  </property>
  <property fmtid="{D5CDD505-2E9C-101B-9397-08002B2CF9AE}" pid="20" name="delta_recipientEmail">
    <vt:lpwstr>{Adressaadi e-posti aadress}</vt:lpwstr>
  </property>
  <property fmtid="{D5CDD505-2E9C-101B-9397-08002B2CF9AE}" pid="21" name="delta_additionalRecipientEmail">
    <vt:lpwstr>{Saaja e-posti aadress}</vt:lpwstr>
  </property>
  <property fmtid="{D5CDD505-2E9C-101B-9397-08002B2CF9AE}" pid="22" name="delta_recipientEmai.1l">
    <vt:lpwstr>{Adressaadi e-posti aadress}</vt:lpwstr>
  </property>
  <property fmtid="{D5CDD505-2E9C-101B-9397-08002B2CF9AE}" pid="23" name="delta_additionalRecipientEmail.1">
    <vt:lpwstr>{Saaja e-posti aadress}</vt:lpwstr>
  </property>
  <property fmtid="{D5CDD505-2E9C-101B-9397-08002B2CF9AE}" pid="24" name="delta_recipientEmail.1">
    <vt:lpwstr>{Saaja e-posti aadress}</vt:lpwstr>
  </property>
  <property fmtid="{D5CDD505-2E9C-101B-9397-08002B2CF9AE}" pid="25" name="delta_recipientPersonName">
    <vt:lpwstr>{saaja nimi}</vt:lpwstr>
  </property>
  <property fmtid="{D5CDD505-2E9C-101B-9397-08002B2CF9AE}" pid="26" name="delta_additionalRecipientName.2">
    <vt:lpwstr>lisa saaja_2</vt:lpwstr>
  </property>
  <property fmtid="{D5CDD505-2E9C-101B-9397-08002B2CF9AE}" pid="27" name="delta_additionalRecipientName.3">
    <vt:lpwstr>lisa saaja_3</vt:lpwstr>
  </property>
  <property fmtid="{D5CDD505-2E9C-101B-9397-08002B2CF9AE}" pid="28" name="delta_recipientPersonName.1">
    <vt:lpwstr>{saaja nimi}</vt:lpwstr>
  </property>
  <property fmtid="{D5CDD505-2E9C-101B-9397-08002B2CF9AE}" pid="29" name="MSIP_Label_0839a55c-41b7-435a-93b8-5b74de89c461_Enabled">
    <vt:lpwstr>true</vt:lpwstr>
  </property>
  <property fmtid="{D5CDD505-2E9C-101B-9397-08002B2CF9AE}" pid="30" name="MSIP_Label_0839a55c-41b7-435a-93b8-5b74de89c461_SetDate">
    <vt:lpwstr>2025-12-17T09:30:01Z</vt:lpwstr>
  </property>
  <property fmtid="{D5CDD505-2E9C-101B-9397-08002B2CF9AE}" pid="31" name="MSIP_Label_0839a55c-41b7-435a-93b8-5b74de89c461_Method">
    <vt:lpwstr>Standard</vt:lpwstr>
  </property>
  <property fmtid="{D5CDD505-2E9C-101B-9397-08002B2CF9AE}" pid="32" name="MSIP_Label_0839a55c-41b7-435a-93b8-5b74de89c461_Name">
    <vt:lpwstr>SMIT - Sisemine kasutus.</vt:lpwstr>
  </property>
  <property fmtid="{D5CDD505-2E9C-101B-9397-08002B2CF9AE}" pid="33" name="MSIP_Label_0839a55c-41b7-435a-93b8-5b74de89c461_SiteId">
    <vt:lpwstr>7bae085e-3093-4c05-8334-7a5421e0af07</vt:lpwstr>
  </property>
  <property fmtid="{D5CDD505-2E9C-101B-9397-08002B2CF9AE}" pid="34" name="MSIP_Label_0839a55c-41b7-435a-93b8-5b74de89c461_ActionId">
    <vt:lpwstr>c248c71b-a6e9-4da4-9497-ccaf99a06867</vt:lpwstr>
  </property>
  <property fmtid="{D5CDD505-2E9C-101B-9397-08002B2CF9AE}" pid="35" name="MSIP_Label_0839a55c-41b7-435a-93b8-5b74de89c461_ContentBits">
    <vt:lpwstr>0</vt:lpwstr>
  </property>
  <property fmtid="{D5CDD505-2E9C-101B-9397-08002B2CF9AE}" pid="36" name="MSIP_Label_0839a55c-41b7-435a-93b8-5b74de89c461_Tag">
    <vt:lpwstr>10, 3, 0, 1</vt:lpwstr>
  </property>
</Properties>
</file>